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sz w:val="28"/>
          <w:szCs w:val="28"/>
        </w:rPr>
      </w:pPr>
      <w:r w:rsidDel="00000000" w:rsidR="00000000" w:rsidRPr="00000000">
        <w:rPr>
          <w:rFonts w:ascii="Arial" w:cs="Arial" w:eastAsia="Arial" w:hAnsi="Arial"/>
          <w:smallCaps w:val="1"/>
          <w:sz w:val="28"/>
          <w:szCs w:val="28"/>
          <w:rtl w:val="0"/>
        </w:rPr>
        <w:t xml:space="preserve">Annex G (For information only)</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r w:rsidDel="00000000" w:rsidR="00000000" w:rsidRPr="00000000">
        <w:rPr>
          <w:rtl w:val="0"/>
        </w:rPr>
      </w:r>
    </w:p>
    <w:p w:rsidR="00000000" w:rsidDel="00000000" w:rsidP="00000000" w:rsidRDefault="00000000" w:rsidRPr="00000000" w14:paraId="000000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r w:rsidDel="00000000" w:rsidR="00000000" w:rsidRPr="00000000">
        <w:rPr>
          <w:rtl w:val="0"/>
        </w:rPr>
      </w:r>
    </w:p>
    <w:p w:rsidR="00000000" w:rsidDel="00000000" w:rsidP="00000000" w:rsidRDefault="00000000" w:rsidRPr="00000000" w14:paraId="00000020">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widowControl w:val="1"/>
        <w:numPr>
          <w:ilvl w:val="0"/>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widowControl w:val="1"/>
        <w:numPr>
          <w:ilvl w:val="0"/>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widowControl w:val="1"/>
        <w:numPr>
          <w:ilvl w:val="0"/>
          <w:numId w:val="6"/>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widowControl w:val="1"/>
        <w:numPr>
          <w:ilvl w:val="0"/>
          <w:numId w:val="6"/>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widowControl w:val="1"/>
        <w:numPr>
          <w:ilvl w:val="0"/>
          <w:numId w:val="6"/>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widowControl w:val="1"/>
        <w:numPr>
          <w:ilvl w:val="0"/>
          <w:numId w:val="6"/>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widowControl w:val="1"/>
        <w:numPr>
          <w:ilvl w:val="0"/>
          <w:numId w:val="6"/>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widowControl w:val="1"/>
        <w:numPr>
          <w:ilvl w:val="0"/>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widowControl w:val="1"/>
        <w:pBdr>
          <w:top w:space="0" w:sz="0" w:val="nil"/>
          <w:left w:space="0" w:sz="0" w:val="nil"/>
          <w:bottom w:space="0" w:sz="0" w:val="nil"/>
          <w:right w:space="0" w:sz="0" w:val="nil"/>
          <w:between w:space="0" w:sz="0" w:val="nil"/>
        </w:pBdr>
        <w:shd w:fill="auto" w:val="clea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0"/>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firstLine="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firstLine="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bookmarkStart w:colFirst="0" w:colLast="0" w:name="_heading=h.gjdgxs" w:id="0"/>
      <w:bookmarkEnd w:id="0"/>
      <w:r w:rsidDel="00000000" w:rsidR="00000000" w:rsidRPr="00000000">
        <w:rPr>
          <w:rtl w:val="0"/>
        </w:rPr>
      </w:r>
    </w:p>
    <w:p w:rsidR="00000000" w:rsidDel="00000000" w:rsidP="00000000" w:rsidRDefault="00000000" w:rsidRPr="00000000" w14:paraId="000000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bookmark=id.30j0zll" w:id="1"/>
    <w:bookmarkEnd w:id="1"/>
    <w:bookmarkStart w:colFirst="0" w:colLast="0" w:name="bookmark=id.1fob9te" w:id="2"/>
    <w:bookmarkEnd w:id="2"/>
    <w:p w:rsidR="00000000" w:rsidDel="00000000" w:rsidP="00000000" w:rsidRDefault="00000000" w:rsidRPr="00000000" w14:paraId="00000048">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firstLine="0"/>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r w:rsidDel="00000000" w:rsidR="00000000" w:rsidRPr="00000000">
        <w:rPr>
          <w:rtl w:val="0"/>
        </w:rPr>
      </w:r>
    </w:p>
    <w:p w:rsidR="00000000" w:rsidDel="00000000" w:rsidP="00000000" w:rsidRDefault="00000000" w:rsidRPr="00000000" w14:paraId="000000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r w:rsidDel="00000000" w:rsidR="00000000" w:rsidRPr="00000000">
        <w:rPr>
          <w:rtl w:val="0"/>
        </w:rPr>
      </w:r>
    </w:p>
    <w:p w:rsidR="00000000" w:rsidDel="00000000" w:rsidP="00000000" w:rsidRDefault="00000000" w:rsidRPr="00000000" w14:paraId="000000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r w:rsidDel="00000000" w:rsidR="00000000" w:rsidRPr="00000000">
        <w:rPr>
          <w:rtl w:val="0"/>
        </w:rPr>
      </w:r>
    </w:p>
    <w:p w:rsidR="00000000" w:rsidDel="00000000" w:rsidP="00000000" w:rsidRDefault="00000000" w:rsidRPr="00000000" w14:paraId="000000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widowControl w:val="1"/>
        <w:numPr>
          <w:ilvl w:val="0"/>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 list derogations to the General Conditions, </w:t>
      </w:r>
      <w:r w:rsidDel="00000000" w:rsidR="00000000" w:rsidRPr="00000000">
        <w:rPr>
          <w:rFonts w:ascii="Arial" w:cs="Arial" w:eastAsia="Arial" w:hAnsi="Arial"/>
          <w:highlight w:val="yellow"/>
          <w:rtl w:val="0"/>
        </w:rPr>
        <w:t xml:space="preserve">if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applicable. (</w:t>
      </w:r>
      <w:r w:rsidDel="00000000" w:rsidR="00000000" w:rsidRPr="00000000">
        <w:rPr>
          <w:rFonts w:ascii="Arial" w:cs="Arial" w:eastAsia="Arial" w:hAnsi="Arial"/>
          <w:highlight w:val="yellow"/>
          <w:rtl w:val="0"/>
        </w:rPr>
        <w:t xml:space="preserve">2) provisions into the GSA required by the agreement between UNOPS and the Funding Source.</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r w:rsidDel="00000000" w:rsidR="00000000" w:rsidRPr="00000000">
        <w:rPr>
          <w:rtl w:val="0"/>
        </w:rPr>
      </w:r>
    </w:p>
    <w:p w:rsidR="00000000" w:rsidDel="00000000" w:rsidP="00000000" w:rsidRDefault="00000000" w:rsidRPr="00000000" w14:paraId="0000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widowControl w:val="1"/>
        <w:numPr>
          <w:ilvl w:val="1"/>
          <w:numId w:val="7"/>
        </w:numPr>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r w:rsidDel="00000000" w:rsidR="00000000" w:rsidRPr="00000000">
        <w:rPr>
          <w:rtl w:val="0"/>
        </w:rPr>
      </w:r>
    </w:p>
    <w:p w:rsidR="00000000" w:rsidDel="00000000" w:rsidP="00000000" w:rsidRDefault="00000000" w:rsidRPr="00000000" w14:paraId="00000075">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tbl>
      <w:tblPr>
        <w:tblStyle w:val="Table2"/>
        <w:tblW w:w="92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7">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rPr>
          <w:rFonts w:ascii="Arial" w:cs="Arial" w:eastAsia="Arial" w:hAnsi="Arial"/>
          <w:b w:val="1"/>
        </w:rPr>
      </w:pPr>
      <w:r w:rsidDel="00000000" w:rsidR="00000000" w:rsidRPr="00000000">
        <w:rPr>
          <w:rtl w:val="0"/>
        </w:rPr>
      </w:r>
    </w:p>
    <w:p w:rsidR="00000000" w:rsidDel="00000000" w:rsidP="00000000" w:rsidRDefault="00000000" w:rsidRPr="00000000" w14:paraId="000000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rPr>
          <w:rFonts w:ascii="Arial" w:cs="Arial" w:eastAsia="Arial" w:hAnsi="Arial"/>
          <w:b w:val="1"/>
        </w:rPr>
      </w:pPr>
      <w:r w:rsidDel="00000000" w:rsidR="00000000" w:rsidRPr="00000000">
        <w:rPr>
          <w:rtl w:val="0"/>
        </w:rPr>
      </w:r>
    </w:p>
    <w:p w:rsidR="00000000" w:rsidDel="00000000" w:rsidP="00000000" w:rsidRDefault="00000000" w:rsidRPr="00000000" w14:paraId="000000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sectPr>
          <w:headerReference r:id="rId8" w:type="default"/>
          <w:footerReference r:id="rId9" w:type="default"/>
          <w:pgSz w:h="16840" w:w="11907" w:orient="portrait"/>
          <w:pgMar w:bottom="1134" w:top="1134" w:left="1134" w:right="1134" w:header="720" w:footer="720"/>
          <w:pgNumType w:start="1"/>
        </w:sect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6">
      <w:pPr>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7">
      <w:pPr>
        <w:rPr>
          <w:rFonts w:ascii="Arial" w:cs="Arial" w:eastAsia="Arial" w:hAnsi="Arial"/>
        </w:rPr>
      </w:pPr>
      <w:r w:rsidDel="00000000" w:rsidR="00000000" w:rsidRPr="00000000">
        <w:rPr>
          <w:rtl w:val="0"/>
        </w:rPr>
      </w:r>
    </w:p>
    <w:p w:rsidR="00000000" w:rsidDel="00000000" w:rsidP="00000000" w:rsidRDefault="00000000" w:rsidRPr="00000000" w14:paraId="000000A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9">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A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E">
      <w:pPr>
        <w:jc w:val="both"/>
        <w:rPr>
          <w:rFonts w:ascii="Arial" w:cs="Arial" w:eastAsia="Arial" w:hAnsi="Arial"/>
        </w:rPr>
      </w:pPr>
      <w:r w:rsidDel="00000000" w:rsidR="00000000" w:rsidRPr="00000000">
        <w:rPr>
          <w:rtl w:val="0"/>
        </w:rPr>
      </w:r>
    </w:p>
    <w:p w:rsidR="00000000" w:rsidDel="00000000" w:rsidP="00000000" w:rsidRDefault="00000000" w:rsidRPr="00000000" w14:paraId="000000B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1">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2">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3">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4">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5">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6">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8">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CF">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D">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DF">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E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5">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r w:rsidDel="00000000" w:rsidR="00000000" w:rsidRPr="00000000">
        <w:rPr>
          <w:rtl w:val="0"/>
        </w:rPr>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0F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2">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3">
      <w:pPr>
        <w:keepNext w:val="1"/>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4">
      <w:pPr>
        <w:keepNext w:val="1"/>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5">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6">
      <w:pPr>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7">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8">
      <w:pPr>
        <w:keepNext w:val="1"/>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9">
      <w:pPr>
        <w:keepNext w:val="1"/>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1">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1">
      <w:pPr>
        <w:keepNext w:val="1"/>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2">
      <w:pPr>
        <w:keepNext w:val="1"/>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3">
      <w:pPr>
        <w:keepNext w:val="1"/>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4">
      <w:pPr>
        <w:keepNext w:val="1"/>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5">
      <w:pPr>
        <w:keepNext w:val="1"/>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8">
      <w:pPr>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1F">
      <w:pPr>
        <w:jc w:val="both"/>
        <w:rPr>
          <w:rFonts w:ascii="Arial" w:cs="Arial" w:eastAsia="Arial" w:hAnsi="Arial"/>
        </w:rPr>
      </w:pPr>
      <w:r w:rsidDel="00000000" w:rsidR="00000000" w:rsidRPr="00000000">
        <w:rPr>
          <w:rtl w:val="0"/>
        </w:rPr>
      </w:r>
    </w:p>
    <w:p w:rsidR="00000000" w:rsidDel="00000000" w:rsidP="00000000" w:rsidRDefault="00000000" w:rsidRPr="00000000" w14:paraId="0000012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1">
      <w:pPr>
        <w:jc w:val="both"/>
        <w:rPr>
          <w:rFonts w:ascii="Arial" w:cs="Arial" w:eastAsia="Arial" w:hAnsi="Arial"/>
        </w:rPr>
      </w:pPr>
      <w:r w:rsidDel="00000000" w:rsidR="00000000" w:rsidRPr="00000000">
        <w:rPr>
          <w:rtl w:val="0"/>
        </w:rPr>
      </w:r>
    </w:p>
    <w:p w:rsidR="00000000" w:rsidDel="00000000" w:rsidP="00000000" w:rsidRDefault="00000000" w:rsidRPr="00000000" w14:paraId="0000012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r w:rsidDel="00000000" w:rsidR="00000000" w:rsidRPr="00000000">
        <w:rPr>
          <w:rtl w:val="0"/>
        </w:rPr>
      </w:r>
    </w:p>
    <w:p w:rsidR="00000000" w:rsidDel="00000000" w:rsidP="00000000" w:rsidRDefault="00000000" w:rsidRPr="00000000" w14:paraId="00000123">
      <w:pPr>
        <w:jc w:val="both"/>
        <w:rPr>
          <w:rFonts w:ascii="Arial" w:cs="Arial" w:eastAsia="Arial" w:hAnsi="Arial"/>
        </w:rPr>
      </w:pPr>
      <w:r w:rsidDel="00000000" w:rsidR="00000000" w:rsidRPr="00000000">
        <w:rPr>
          <w:rtl w:val="0"/>
        </w:rPr>
      </w:r>
    </w:p>
    <w:p w:rsidR="00000000" w:rsidDel="00000000" w:rsidP="00000000" w:rsidRDefault="00000000" w:rsidRPr="00000000" w14:paraId="0000012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5">
      <w:pPr>
        <w:jc w:val="both"/>
        <w:rPr>
          <w:rFonts w:ascii="Arial" w:cs="Arial" w:eastAsia="Arial" w:hAnsi="Arial"/>
        </w:rPr>
      </w:pPr>
      <w:r w:rsidDel="00000000" w:rsidR="00000000" w:rsidRPr="00000000">
        <w:rPr>
          <w:rtl w:val="0"/>
        </w:rPr>
      </w:r>
    </w:p>
    <w:p w:rsidR="00000000" w:rsidDel="00000000" w:rsidP="00000000" w:rsidRDefault="00000000" w:rsidRPr="00000000" w14:paraId="0000012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r w:rsidDel="00000000" w:rsidR="00000000" w:rsidRPr="00000000">
        <w:rPr>
          <w:rtl w:val="0"/>
        </w:rPr>
      </w:r>
    </w:p>
    <w:p w:rsidR="00000000" w:rsidDel="00000000" w:rsidP="00000000" w:rsidRDefault="00000000" w:rsidRPr="00000000" w14:paraId="00000127">
      <w:pPr>
        <w:jc w:val="both"/>
        <w:rPr>
          <w:rFonts w:ascii="Arial" w:cs="Arial" w:eastAsia="Arial" w:hAnsi="Arial"/>
        </w:rPr>
      </w:pPr>
      <w:r w:rsidDel="00000000" w:rsidR="00000000" w:rsidRPr="00000000">
        <w:rPr>
          <w:rtl w:val="0"/>
        </w:rPr>
      </w:r>
    </w:p>
    <w:p w:rsidR="00000000" w:rsidDel="00000000" w:rsidP="00000000" w:rsidRDefault="00000000" w:rsidRPr="00000000" w14:paraId="0000012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9">
      <w:pPr>
        <w:jc w:val="both"/>
        <w:rPr>
          <w:rFonts w:ascii="Arial" w:cs="Arial" w:eastAsia="Arial" w:hAnsi="Arial"/>
        </w:rPr>
      </w:pPr>
      <w:r w:rsidDel="00000000" w:rsidR="00000000" w:rsidRPr="00000000">
        <w:rPr>
          <w:rtl w:val="0"/>
        </w:rPr>
      </w:r>
    </w:p>
    <w:p w:rsidR="00000000" w:rsidDel="00000000" w:rsidP="00000000" w:rsidRDefault="00000000" w:rsidRPr="00000000" w14:paraId="0000012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r w:rsidDel="00000000" w:rsidR="00000000" w:rsidRPr="00000000">
        <w:rPr>
          <w:rtl w:val="0"/>
        </w:rPr>
      </w:r>
    </w:p>
    <w:p w:rsidR="00000000" w:rsidDel="00000000" w:rsidP="00000000" w:rsidRDefault="00000000" w:rsidRPr="00000000" w14:paraId="0000012B">
      <w:pPr>
        <w:rPr>
          <w:rFonts w:ascii="Arial" w:cs="Arial" w:eastAsia="Arial" w:hAnsi="Arial"/>
        </w:rPr>
      </w:pPr>
      <w:r w:rsidDel="00000000" w:rsidR="00000000" w:rsidRPr="00000000">
        <w:rPr>
          <w:rtl w:val="0"/>
        </w:rPr>
      </w:r>
    </w:p>
    <w:p w:rsidR="00000000" w:rsidDel="00000000" w:rsidP="00000000" w:rsidRDefault="00000000" w:rsidRPr="00000000" w14:paraId="0000012C">
      <w:pPr>
        <w:numPr>
          <w:ilvl w:val="0"/>
          <w:numId w:val="9"/>
        </w:numPr>
        <w:ind w:left="567" w:hanging="360"/>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D">
      <w:pPr>
        <w:jc w:val="both"/>
        <w:rPr>
          <w:rFonts w:ascii="Arial" w:cs="Arial" w:eastAsia="Arial" w:hAnsi="Arial"/>
        </w:rPr>
      </w:pPr>
      <w:r w:rsidDel="00000000" w:rsidR="00000000" w:rsidRPr="00000000">
        <w:rPr>
          <w:rtl w:val="0"/>
        </w:rPr>
      </w:r>
    </w:p>
    <w:p w:rsidR="00000000" w:rsidDel="00000000" w:rsidP="00000000" w:rsidRDefault="00000000" w:rsidRPr="00000000" w14:paraId="0000012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2"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2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2"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6">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7">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8">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9">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130.0" w:type="dxa"/>
      </w:tblCellMar>
    </w:tblPr>
  </w:style>
  <w:style w:type="table" w:styleId="Table2">
    <w:basedOn w:val="TableNormal"/>
    <w:tblPr>
      <w:tblStyleRowBandSize w:val="1"/>
      <w:tblStyleColBandSize w:val="1"/>
      <w:tblCellMar>
        <w:top w:w="0.0" w:type="dxa"/>
        <w:left w:w="72.0" w:type="dxa"/>
        <w:bottom w:w="0.0" w:type="dxa"/>
        <w:right w:w="130.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https://www.un.org/sc/suborg/en/sanctions/1267/aq_sanctions_list" TargetMode="External"/><Relationship Id="rId10" Type="http://schemas.openxmlformats.org/officeDocument/2006/relationships/hyperlink" Target="http://www.un.org" TargetMode="External"/><Relationship Id="rId12"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XsLd8Pv2E6qT8vDJLxoNkqdmGA==">AMUW2mVM0fn8LQdB5vFRm5We5lnMpAJZli/m/oBxJDTbS69PIhPR7CZ7cU6A1XQUkqFAAJ2i8OsQBxecsQISQ4D9qc/NmGH7E/V4YRwOcb6aC8jcNdlTjMtNhvtpOEFRBMiYiRk9MriOjGcbywK9nqc+0Q/rkmYk9A==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