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30j0zll" w:id="1"/>
      <w:bookmarkEnd w:id="1"/>
      <w:r w:rsidDel="00000000" w:rsidR="00000000" w:rsidRPr="00000000">
        <w:rPr>
          <w:rtl w:val="0"/>
        </w:rPr>
      </w:r>
    </w:p>
    <w:p w:rsidR="00000000" w:rsidDel="00000000" w:rsidP="00000000" w:rsidRDefault="00000000" w:rsidRPr="00000000" w14:paraId="00000003">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g57cj0jbs4g1" w:id="2"/>
      <w:bookmarkEnd w:id="2"/>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spacing w:after="240" w:line="240" w:lineRule="auto"/>
        <w:jc w:val="center"/>
        <w:rPr>
          <w:rFonts w:ascii="Montserrat SemiBold" w:cs="Montserrat SemiBold" w:eastAsia="Montserrat SemiBold" w:hAnsi="Montserrat SemiBold"/>
          <w:color w:val="263e93"/>
          <w:sz w:val="28"/>
          <w:szCs w:val="28"/>
        </w:rPr>
      </w:pPr>
      <w:r w:rsidDel="00000000" w:rsidR="00000000" w:rsidRPr="00000000">
        <w:rPr>
          <w:rFonts w:ascii="Montserrat" w:cs="Montserrat" w:eastAsia="Montserrat" w:hAnsi="Montserrat"/>
          <w:b w:val="1"/>
          <w:color w:val="263e93"/>
          <w:sz w:val="28"/>
          <w:szCs w:val="28"/>
          <w:rtl w:val="0"/>
        </w:rPr>
        <w:t xml:space="preserve">Public Call for implementation of integrated projects deriving from the twelve territorial strategies supported by the EU PRO Plus programme</w:t>
      </w:r>
      <w:r w:rsidDel="00000000" w:rsidR="00000000" w:rsidRPr="00000000">
        <w:rPr>
          <w:rtl w:val="0"/>
        </w:rPr>
      </w:r>
    </w:p>
    <w:p w:rsidR="00000000" w:rsidDel="00000000" w:rsidP="00000000" w:rsidRDefault="00000000" w:rsidRPr="00000000" w14:paraId="00000008">
      <w:pPr>
        <w:spacing w:line="240" w:lineRule="auto"/>
        <w:jc w:val="center"/>
        <w:rPr>
          <w:rFonts w:ascii="Calibri" w:cs="Calibri" w:eastAsia="Calibri" w:hAnsi="Calibri"/>
          <w:b w:val="1"/>
          <w:color w:val="002060"/>
          <w:sz w:val="28"/>
          <w:szCs w:val="28"/>
          <w:u w:val="single"/>
        </w:rPr>
      </w:pPr>
      <w:r w:rsidDel="00000000" w:rsidR="00000000" w:rsidRPr="00000000">
        <w:rPr>
          <w:rtl w:val="0"/>
        </w:rPr>
      </w:r>
    </w:p>
    <w:p w:rsidR="00000000" w:rsidDel="00000000" w:rsidP="00000000" w:rsidRDefault="00000000" w:rsidRPr="00000000" w14:paraId="00000009">
      <w:pPr>
        <w:spacing w:after="240" w:line="240" w:lineRule="auto"/>
        <w:jc w:val="center"/>
        <w:rPr>
          <w:rFonts w:ascii="Montserrat" w:cs="Montserrat" w:eastAsia="Montserrat" w:hAnsi="Montserrat"/>
          <w:b w:val="1"/>
          <w:color w:val="263e93"/>
          <w:sz w:val="28"/>
          <w:szCs w:val="28"/>
        </w:rPr>
      </w:pPr>
      <w:r w:rsidDel="00000000" w:rsidR="00000000" w:rsidRPr="00000000">
        <w:rPr>
          <w:rtl w:val="0"/>
        </w:rPr>
      </w:r>
    </w:p>
    <w:p w:rsidR="00000000" w:rsidDel="00000000" w:rsidP="00000000" w:rsidRDefault="00000000" w:rsidRPr="00000000" w14:paraId="0000000A">
      <w:pPr>
        <w:spacing w:after="240" w:line="240" w:lineRule="auto"/>
        <w:jc w:val="center"/>
        <w:rPr>
          <w:rFonts w:ascii="Montserrat SemiBold" w:cs="Montserrat SemiBold" w:eastAsia="Montserrat SemiBold" w:hAnsi="Montserrat SemiBold"/>
          <w:color w:val="263e93"/>
          <w:sz w:val="28"/>
          <w:szCs w:val="28"/>
        </w:rPr>
      </w:pPr>
      <w:r w:rsidDel="00000000" w:rsidR="00000000" w:rsidRPr="00000000">
        <w:rPr>
          <w:rtl w:val="0"/>
        </w:rPr>
      </w:r>
    </w:p>
    <w:p w:rsidR="00000000" w:rsidDel="00000000" w:rsidP="00000000" w:rsidRDefault="00000000" w:rsidRPr="00000000" w14:paraId="0000000B">
      <w:pPr>
        <w:spacing w:after="240" w:before="480" w:line="240" w:lineRule="auto"/>
        <w:jc w:val="center"/>
        <w:rPr>
          <w:rFonts w:ascii="Calibri" w:cs="Calibri" w:eastAsia="Calibri" w:hAnsi="Calibri"/>
          <w:color w:val="1f4d78"/>
          <w:sz w:val="24"/>
          <w:szCs w:val="24"/>
        </w:rPr>
      </w:pPr>
      <w:r w:rsidDel="00000000" w:rsidR="00000000" w:rsidRPr="00000000">
        <w:rPr>
          <w:rtl w:val="0"/>
        </w:rPr>
      </w:r>
    </w:p>
    <w:p w:rsidR="00000000" w:rsidDel="00000000" w:rsidP="00000000" w:rsidRDefault="00000000" w:rsidRPr="00000000" w14:paraId="0000000C">
      <w:pPr>
        <w:spacing w:after="240" w:line="240" w:lineRule="auto"/>
        <w:jc w:val="center"/>
        <w:rPr>
          <w:rFonts w:ascii="Montserrat" w:cs="Montserrat" w:eastAsia="Montserrat" w:hAnsi="Montserrat"/>
          <w:b w:val="1"/>
          <w:color w:val="263e93"/>
          <w:sz w:val="28"/>
          <w:szCs w:val="28"/>
        </w:rPr>
      </w:pPr>
      <w:r w:rsidDel="00000000" w:rsidR="00000000" w:rsidRPr="00000000">
        <w:rPr>
          <w:rtl w:val="0"/>
        </w:rPr>
      </w:r>
    </w:p>
    <w:p w:rsidR="00000000" w:rsidDel="00000000" w:rsidP="00000000" w:rsidRDefault="00000000" w:rsidRPr="00000000" w14:paraId="0000000D">
      <w:pPr>
        <w:spacing w:after="240" w:before="480" w:line="240" w:lineRule="auto"/>
        <w:jc w:val="center"/>
        <w:rPr>
          <w:rFonts w:ascii="Calibri" w:cs="Calibri" w:eastAsia="Calibri" w:hAnsi="Calibri"/>
          <w:color w:val="1f4d78"/>
          <w:sz w:val="24"/>
          <w:szCs w:val="24"/>
        </w:rPr>
      </w:pPr>
      <w:r w:rsidDel="00000000" w:rsidR="00000000" w:rsidRPr="00000000">
        <w:rPr>
          <w:rFonts w:ascii="Montserrat SemiBold" w:cs="Montserrat SemiBold" w:eastAsia="Montserrat SemiBold" w:hAnsi="Montserrat SemiBold"/>
          <w:color w:val="263e93"/>
          <w:sz w:val="28"/>
          <w:szCs w:val="28"/>
          <w:rtl w:val="0"/>
        </w:rPr>
        <w:t xml:space="preserve">Annex D</w:t>
        <w:tab/>
        <w:t xml:space="preserve">Eligibility Declaration by the Applicant </w:t>
      </w:r>
      <w:r w:rsidDel="00000000" w:rsidR="00000000" w:rsidRPr="00000000">
        <w:rPr>
          <w:rtl w:val="0"/>
        </w:rPr>
      </w:r>
    </w:p>
    <w:p w:rsidR="00000000" w:rsidDel="00000000" w:rsidP="00000000" w:rsidRDefault="00000000" w:rsidRPr="00000000" w14:paraId="0000000E">
      <w:pPr>
        <w:spacing w:after="240" w:line="240" w:lineRule="auto"/>
        <w:jc w:val="center"/>
        <w:rPr>
          <w:rFonts w:ascii="Montserrat SemiBold" w:cs="Montserrat SemiBold" w:eastAsia="Montserrat SemiBold" w:hAnsi="Montserrat SemiBold"/>
          <w:color w:val="263e93"/>
          <w:sz w:val="28"/>
          <w:szCs w:val="28"/>
        </w:rPr>
      </w:pPr>
      <w:r w:rsidDel="00000000" w:rsidR="00000000" w:rsidRPr="00000000">
        <w:rPr>
          <w:rFonts w:ascii="Montserrat" w:cs="Montserrat" w:eastAsia="Montserrat" w:hAnsi="Montserrat"/>
          <w:color w:val="1f4d78"/>
          <w:sz w:val="24"/>
          <w:szCs w:val="24"/>
          <w:rtl w:val="0"/>
        </w:rPr>
        <w:t xml:space="preserve">Reference: Call for Proposals number</w:t>
      </w:r>
      <w:r w:rsidDel="00000000" w:rsidR="00000000" w:rsidRPr="00000000">
        <w:rPr>
          <w:rFonts w:ascii="Calibri" w:cs="Calibri" w:eastAsia="Calibri" w:hAnsi="Calibri"/>
          <w:color w:val="1f4d78"/>
          <w:sz w:val="24"/>
          <w:szCs w:val="24"/>
          <w:rtl w:val="0"/>
        </w:rPr>
        <w:t xml:space="preserve"> </w:t>
      </w:r>
      <w:r w:rsidDel="00000000" w:rsidR="00000000" w:rsidRPr="00000000">
        <w:rPr>
          <w:rFonts w:ascii="Montserrat" w:cs="Montserrat" w:eastAsia="Montserrat" w:hAnsi="Montserrat"/>
          <w:color w:val="263e93"/>
          <w:sz w:val="24"/>
          <w:szCs w:val="24"/>
          <w:rtl w:val="0"/>
        </w:rPr>
        <w:t xml:space="preserve">CFP 002-EUPROPLUS-2023</w:t>
      </w:r>
      <w:r w:rsidDel="00000000" w:rsidR="00000000" w:rsidRPr="00000000">
        <w:rPr>
          <w:rtl w:val="0"/>
        </w:rPr>
      </w:r>
    </w:p>
    <w:p w:rsidR="00000000" w:rsidDel="00000000" w:rsidP="00000000" w:rsidRDefault="00000000" w:rsidRPr="00000000" w14:paraId="0000000F">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3znysh7" w:id="3"/>
      <w:bookmarkEnd w:id="3"/>
      <w:r w:rsidDel="00000000" w:rsidR="00000000" w:rsidRPr="00000000">
        <w:rPr>
          <w:rtl w:val="0"/>
        </w:rPr>
      </w:r>
    </w:p>
    <w:p w:rsidR="00000000" w:rsidDel="00000000" w:rsidP="00000000" w:rsidRDefault="00000000" w:rsidRPr="00000000" w14:paraId="00000010">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2et92p0" w:id="4"/>
      <w:bookmarkEnd w:id="4"/>
      <w:r w:rsidDel="00000000" w:rsidR="00000000" w:rsidRPr="00000000">
        <w:rPr>
          <w:rtl w:val="0"/>
        </w:rPr>
      </w:r>
    </w:p>
    <w:p w:rsidR="00000000" w:rsidDel="00000000" w:rsidP="00000000" w:rsidRDefault="00000000" w:rsidRPr="00000000" w14:paraId="0000001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line="240" w:lineRule="auto"/>
        <w:jc w:val="center"/>
        <w:rPr>
          <w:rFonts w:ascii="Montserrat SemiBold" w:cs="Montserrat SemiBold" w:eastAsia="Montserrat SemiBold" w:hAnsi="Montserrat SemiBold"/>
          <w:color w:val="263e93"/>
          <w:sz w:val="28"/>
          <w:szCs w:val="28"/>
        </w:rPr>
      </w:pPr>
      <w:r w:rsidDel="00000000" w:rsidR="00000000" w:rsidRPr="00000000">
        <w:rPr>
          <w:rtl w:val="0"/>
        </w:rPr>
      </w:r>
    </w:p>
    <w:p w:rsidR="00000000" w:rsidDel="00000000" w:rsidP="00000000" w:rsidRDefault="00000000" w:rsidRPr="00000000" w14:paraId="00000012">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tyjcwt" w:id="5"/>
      <w:bookmarkEnd w:id="5"/>
      <w:r w:rsidDel="00000000" w:rsidR="00000000" w:rsidRPr="00000000">
        <w:rPr>
          <w:rtl w:val="0"/>
        </w:rPr>
      </w:r>
    </w:p>
    <w:p w:rsidR="00000000" w:rsidDel="00000000" w:rsidP="00000000" w:rsidRDefault="00000000" w:rsidRPr="00000000" w14:paraId="00000013">
      <w:pPr>
        <w:pStyle w:val="Heading2"/>
        <w:spacing w:after="0" w:before="40" w:line="259" w:lineRule="auto"/>
        <w:ind w:firstLine="360"/>
        <w:jc w:val="center"/>
        <w:rPr>
          <w:rFonts w:ascii="Montserrat SemiBold" w:cs="Montserrat SemiBold" w:eastAsia="Montserrat SemiBold" w:hAnsi="Montserrat SemiBold"/>
          <w:color w:val="263e93"/>
          <w:sz w:val="28"/>
          <w:szCs w:val="28"/>
        </w:rPr>
      </w:pPr>
      <w:bookmarkStart w:colFirst="0" w:colLast="0" w:name="_heading=h.3dy6vkm" w:id="6"/>
      <w:bookmarkEnd w:id="6"/>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shd w:fill="ffffff" w:val="clear"/>
        <w:spacing w:line="240" w:lineRule="auto"/>
        <w:jc w:val="center"/>
        <w:rPr>
          <w:rFonts w:ascii="Open Sans" w:cs="Open Sans" w:eastAsia="Open Sans" w:hAnsi="Open Sans"/>
          <w:b w:val="1"/>
          <w:color w:val="263e93"/>
          <w:sz w:val="24"/>
          <w:szCs w:val="24"/>
        </w:rPr>
      </w:pPr>
      <w:r w:rsidDel="00000000" w:rsidR="00000000" w:rsidRPr="00000000">
        <w:rPr>
          <w:rFonts w:ascii="Open Sans" w:cs="Open Sans" w:eastAsia="Open Sans" w:hAnsi="Open Sans"/>
          <w:b w:val="1"/>
          <w:color w:val="263e93"/>
          <w:sz w:val="24"/>
          <w:szCs w:val="24"/>
          <w:rtl w:val="0"/>
        </w:rPr>
        <w:t xml:space="preserve">Eligibility Declaration by the Applicant </w:t>
      </w:r>
    </w:p>
    <w:p w:rsidR="00000000" w:rsidDel="00000000" w:rsidP="00000000" w:rsidRDefault="00000000" w:rsidRPr="00000000" w14:paraId="00000021">
      <w:pPr>
        <w:shd w:fill="ffffff" w:val="clear"/>
        <w:spacing w:line="240" w:lineRule="auto"/>
        <w:jc w:val="center"/>
        <w:rPr>
          <w:rFonts w:ascii="Open Sans" w:cs="Open Sans" w:eastAsia="Open Sans" w:hAnsi="Open Sans"/>
          <w:color w:val="404040"/>
          <w:sz w:val="20"/>
          <w:szCs w:val="20"/>
        </w:rPr>
      </w:pPr>
      <w:bookmarkStart w:colFirst="0" w:colLast="0" w:name="_heading=h.8li7o06vqwb8" w:id="7"/>
      <w:bookmarkEnd w:id="7"/>
      <w:r w:rsidDel="00000000" w:rsidR="00000000" w:rsidRPr="00000000">
        <w:rPr>
          <w:rtl w:val="0"/>
        </w:rPr>
      </w:r>
    </w:p>
    <w:p w:rsidR="00000000" w:rsidDel="00000000" w:rsidP="00000000" w:rsidRDefault="00000000" w:rsidRPr="00000000" w14:paraId="00000022">
      <w:pPr>
        <w:shd w:fill="ffffff" w:val="clear"/>
        <w:spacing w:line="240" w:lineRule="auto"/>
        <w:jc w:val="center"/>
        <w:rPr>
          <w:rFonts w:ascii="Open Sans" w:cs="Open Sans" w:eastAsia="Open Sans" w:hAnsi="Open Sans"/>
          <w:color w:val="404040"/>
          <w:sz w:val="20"/>
          <w:szCs w:val="20"/>
        </w:rPr>
      </w:pPr>
      <w:bookmarkStart w:colFirst="0" w:colLast="0" w:name="_heading=h.trozoqi533rr" w:id="8"/>
      <w:bookmarkEnd w:id="8"/>
      <w:r w:rsidDel="00000000" w:rsidR="00000000" w:rsidRPr="00000000">
        <w:rPr>
          <w:rFonts w:ascii="Open Sans" w:cs="Open Sans" w:eastAsia="Open Sans" w:hAnsi="Open Sans"/>
          <w:color w:val="404040"/>
          <w:sz w:val="20"/>
          <w:szCs w:val="20"/>
          <w:rtl w:val="0"/>
        </w:rPr>
        <w:t xml:space="preserve">Please confirm the application submission with the following declaration</w:t>
      </w:r>
    </w:p>
    <w:p w:rsidR="00000000" w:rsidDel="00000000" w:rsidP="00000000" w:rsidRDefault="00000000" w:rsidRPr="00000000" w14:paraId="00000023">
      <w:pPr>
        <w:shd w:fill="ffffff" w:val="clear"/>
        <w:spacing w:after="200" w:line="240" w:lineRule="auto"/>
        <w:jc w:val="center"/>
        <w:rPr>
          <w:rFonts w:ascii="Open Sans" w:cs="Open Sans" w:eastAsia="Open Sans" w:hAnsi="Open Sans"/>
          <w:color w:val="404040"/>
          <w:sz w:val="20"/>
          <w:szCs w:val="20"/>
        </w:rPr>
      </w:pPr>
      <w:r w:rsidDel="00000000" w:rsidR="00000000" w:rsidRPr="00000000">
        <w:rPr>
          <w:rtl w:val="0"/>
        </w:rPr>
      </w:r>
    </w:p>
    <w:p w:rsidR="00000000" w:rsidDel="00000000" w:rsidP="00000000" w:rsidRDefault="00000000" w:rsidRPr="00000000" w14:paraId="00000024">
      <w:pPr>
        <w:widowControl w:val="0"/>
        <w:spacing w:after="160" w:line="259"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 the undersigned, being the authorised representative of the Applicant, hereby declare that we have examined and accept without reserve or restriction the entire contents of the CFP documents. Therefore, I certify that the information contained in this application is correct.</w:t>
      </w:r>
    </w:p>
    <w:p w:rsidR="00000000" w:rsidDel="00000000" w:rsidP="00000000" w:rsidRDefault="00000000" w:rsidRPr="00000000" w14:paraId="00000025">
      <w:pPr>
        <w:spacing w:after="160" w:before="5" w:line="26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Moreover, I certify on my honour that the Applicant (including all partners, if any) is not in one of the situations which would exclude it from taking part in the CFP selection process and accordingly declare that the Applicant (including all partners, if any):</w:t>
      </w:r>
    </w:p>
    <w:p w:rsidR="00000000" w:rsidDel="00000000" w:rsidP="00000000" w:rsidRDefault="00000000" w:rsidRPr="00000000" w14:paraId="00000026">
      <w:pPr>
        <w:widowControl w:val="0"/>
        <w:spacing w:line="276.99999999999994" w:lineRule="auto"/>
        <w:ind w:right="147"/>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7">
      <w:pPr>
        <w:widowControl w:val="0"/>
        <w:numPr>
          <w:ilvl w:val="0"/>
          <w:numId w:val="1"/>
        </w:numPr>
        <w:tabs>
          <w:tab w:val="left" w:leader="none" w:pos="541"/>
        </w:tabs>
        <w:spacing w:before="27"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bankrupt or being wound up, is not having its affairs administered by a liquidator or  by a court, has not entered into an arrangement with creditors or suspended business activities, and is not in any analogous situation arising from a similar procedure provided for in national legislation or regulations;</w:t>
      </w:r>
    </w:p>
    <w:p w:rsidR="00000000" w:rsidDel="00000000" w:rsidP="00000000" w:rsidRDefault="00000000" w:rsidRPr="00000000" w14:paraId="00000028">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met its obligations relating to the payment of social security contributions or taxes under the legislation of the country in which it is established;</w:t>
      </w:r>
    </w:p>
    <w:p w:rsidR="00000000" w:rsidDel="00000000" w:rsidP="00000000" w:rsidRDefault="00000000" w:rsidRPr="00000000" w14:paraId="00000029">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w:t>
      </w:r>
    </w:p>
    <w:p w:rsidR="00000000" w:rsidDel="00000000" w:rsidP="00000000" w:rsidRDefault="00000000" w:rsidRPr="00000000" w14:paraId="0000002A">
      <w:pPr>
        <w:widowControl w:val="0"/>
        <w:numPr>
          <w:ilvl w:val="0"/>
          <w:numId w:val="1"/>
        </w:numPr>
        <w:tabs>
          <w:tab w:val="left" w:leader="none" w:pos="541"/>
        </w:tabs>
        <w:spacing w:before="1"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guilty of misrepresentation when furnishing information required by the contracting authority in order to take part in a grant procedure, or of failing to furnish such information;</w:t>
      </w:r>
    </w:p>
    <w:p w:rsidR="00000000" w:rsidDel="00000000" w:rsidP="00000000" w:rsidRDefault="00000000" w:rsidRPr="00000000" w14:paraId="0000002B">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been the subject of a judgement which has the force of res judicata for fraud, corruption, involvement in a criminal organisation or any other illegal activity detrimental to the Community’s financial interests;</w:t>
      </w:r>
    </w:p>
    <w:p w:rsidR="00000000" w:rsidDel="00000000" w:rsidP="00000000" w:rsidRDefault="00000000" w:rsidRPr="00000000" w14:paraId="0000002C">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been the subject of a judgement which has the force of res judicata for money laundering or terrorist financing;</w:t>
      </w:r>
    </w:p>
    <w:p w:rsidR="00000000" w:rsidDel="00000000" w:rsidP="00000000" w:rsidRDefault="00000000" w:rsidRPr="00000000" w14:paraId="0000002D">
      <w:pPr>
        <w:widowControl w:val="0"/>
        <w:numPr>
          <w:ilvl w:val="0"/>
          <w:numId w:val="1"/>
        </w:numPr>
        <w:tabs>
          <w:tab w:val="left" w:leader="none" w:pos="541"/>
        </w:tabs>
        <w:spacing w:before="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been convicted of an offence for terrorism, or any other offences linked to terrorist activities which has the force of res judicata;</w:t>
      </w:r>
    </w:p>
    <w:p w:rsidR="00000000" w:rsidDel="00000000" w:rsidP="00000000" w:rsidRDefault="00000000" w:rsidRPr="00000000" w14:paraId="0000002E">
      <w:pPr>
        <w:widowControl w:val="0"/>
        <w:numPr>
          <w:ilvl w:val="0"/>
          <w:numId w:val="1"/>
        </w:numPr>
        <w:tabs>
          <w:tab w:val="left" w:leader="none" w:pos="541"/>
        </w:tabs>
        <w:spacing w:before="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been the subject of a judgment which has the force of res judicata for child labour or other forms of trafficking in human beings;</w:t>
      </w:r>
    </w:p>
    <w:p w:rsidR="00000000" w:rsidDel="00000000" w:rsidP="00000000" w:rsidRDefault="00000000" w:rsidRPr="00000000" w14:paraId="0000002F">
      <w:pPr>
        <w:widowControl w:val="0"/>
        <w:numPr>
          <w:ilvl w:val="0"/>
          <w:numId w:val="1"/>
        </w:numPr>
        <w:tabs>
          <w:tab w:val="left" w:leader="none" w:pos="541"/>
        </w:tabs>
        <w:spacing w:before="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a shell company or involved in creation of shell companies</w:t>
      </w:r>
    </w:p>
    <w:p w:rsidR="00000000" w:rsidDel="00000000" w:rsidP="00000000" w:rsidRDefault="00000000" w:rsidRPr="00000000" w14:paraId="00000030">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guilty of grave professional misconduct proven by any means which the contracting authority can justify;</w:t>
      </w:r>
    </w:p>
    <w:p w:rsidR="00000000" w:rsidDel="00000000" w:rsidP="00000000" w:rsidRDefault="00000000" w:rsidRPr="00000000" w14:paraId="00000031">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been declared to be in serious breach of contract for failure to comply with its contractual obligations subsequent to another grant award procedure financed by the Community budget.</w:t>
      </w:r>
    </w:p>
    <w:p w:rsidR="00000000" w:rsidDel="00000000" w:rsidP="00000000" w:rsidRDefault="00000000" w:rsidRPr="00000000" w14:paraId="00000032">
      <w:pPr>
        <w:widowControl w:val="0"/>
        <w:numPr>
          <w:ilvl w:val="0"/>
          <w:numId w:val="1"/>
        </w:numPr>
        <w:tabs>
          <w:tab w:val="left" w:leader="none" w:pos="541"/>
        </w:tabs>
        <w:spacing w:before="29"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does not have any conflict of interest in connection with the contract; a conflict of interest may arise in particular as a result of economic interests, political or national affinities, family or emotional ties, or any other relevant connection or shared interest;</w:t>
      </w:r>
    </w:p>
    <w:p w:rsidR="00000000" w:rsidDel="00000000" w:rsidP="00000000" w:rsidRDefault="00000000" w:rsidRPr="00000000" w14:paraId="00000033">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will, if need be, inform the contracting authority, without delay, of any situation constituting a conflict of interest or which could give rise to a conflict of interest;</w:t>
      </w:r>
    </w:p>
    <w:p w:rsidR="00000000" w:rsidDel="00000000" w:rsidP="00000000" w:rsidRDefault="00000000" w:rsidRPr="00000000" w14:paraId="00000034">
      <w:pPr>
        <w:widowControl w:val="0"/>
        <w:numPr>
          <w:ilvl w:val="0"/>
          <w:numId w:val="1"/>
        </w:numPr>
        <w:tabs>
          <w:tab w:val="left" w:leader="none" w:pos="541"/>
        </w:tabs>
        <w:spacing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granted, sought, attempted to obtain or accepted and will not grant, seek, attempt to obtain, or accept any advantage, financial or in kind, to or from any party whatsoever, constituting an illegal or corrupt practice, either directly or indirectly, as an incentive or reward relating to the award of the contract;</w:t>
      </w:r>
    </w:p>
    <w:p w:rsidR="00000000" w:rsidDel="00000000" w:rsidP="00000000" w:rsidRDefault="00000000" w:rsidRPr="00000000" w14:paraId="00000035">
      <w:pPr>
        <w:widowControl w:val="0"/>
        <w:numPr>
          <w:ilvl w:val="0"/>
          <w:numId w:val="1"/>
        </w:numPr>
        <w:tabs>
          <w:tab w:val="left" w:leader="none" w:pos="541"/>
        </w:tabs>
        <w:spacing w:before="1"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guilty of misrepresentation when furnishing information required by the contracting authority in order to take part in a grant procedure, or of failing to furnish such information;</w:t>
      </w:r>
    </w:p>
    <w:p w:rsidR="00000000" w:rsidDel="00000000" w:rsidP="00000000" w:rsidRDefault="00000000" w:rsidRPr="00000000" w14:paraId="00000036">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subject to one of the criteria for exclusion from the grant procedure outlined in points a) to o) above.</w:t>
      </w:r>
    </w:p>
    <w:p w:rsidR="00000000" w:rsidDel="00000000" w:rsidP="00000000" w:rsidRDefault="00000000" w:rsidRPr="00000000" w14:paraId="00000037">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is not using any incentives on the same grounds from other institutions or donors during the period of implementation of activities.</w:t>
      </w:r>
    </w:p>
    <w:p w:rsidR="00000000" w:rsidDel="00000000" w:rsidP="00000000" w:rsidRDefault="00000000" w:rsidRPr="00000000" w14:paraId="00000038">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will provide cost-share cash contribution in line with propositions of this Call and the proposed budget (if cash contribution is planned). If the project costs exceed the planned budget the applicant will cover the difference.</w:t>
      </w:r>
    </w:p>
    <w:p w:rsidR="00000000" w:rsidDel="00000000" w:rsidP="00000000" w:rsidRDefault="00000000" w:rsidRPr="00000000" w14:paraId="00000039">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will take all steps prescribed in the EU PRO Plus Programme </w:t>
      </w:r>
      <w:hyperlink r:id="rId8">
        <w:r w:rsidDel="00000000" w:rsidR="00000000" w:rsidRPr="00000000">
          <w:rPr>
            <w:rFonts w:ascii="Open Sans" w:cs="Open Sans" w:eastAsia="Open Sans" w:hAnsi="Open Sans"/>
            <w:color w:val="1155cc"/>
            <w:sz w:val="20"/>
            <w:szCs w:val="20"/>
            <w:u w:val="single"/>
            <w:rtl w:val="0"/>
          </w:rPr>
          <w:t xml:space="preserve">Communication and Visibility Requirements for EU External Actions</w:t>
        </w:r>
      </w:hyperlink>
      <w:r w:rsidDel="00000000" w:rsidR="00000000" w:rsidRPr="00000000">
        <w:rPr>
          <w:rFonts w:ascii="Open Sans" w:cs="Open Sans" w:eastAsia="Open Sans" w:hAnsi="Open Sans"/>
          <w:sz w:val="20"/>
          <w:szCs w:val="20"/>
          <w:vertAlign w:val="superscript"/>
        </w:rPr>
        <w:footnoteReference w:customMarkFollows="0" w:id="0"/>
      </w:r>
      <w:r w:rsidDel="00000000" w:rsidR="00000000" w:rsidRPr="00000000">
        <w:rPr>
          <w:rFonts w:ascii="Open Sans" w:cs="Open Sans" w:eastAsia="Open Sans" w:hAnsi="Open Sans"/>
          <w:sz w:val="20"/>
          <w:szCs w:val="20"/>
          <w:rtl w:val="0"/>
        </w:rPr>
        <w:t xml:space="preserve"> to promote the European Union (EU) financial contribution to the Action as stated under the Paragraf 10. of the Call. </w:t>
      </w:r>
    </w:p>
    <w:p w:rsidR="00000000" w:rsidDel="00000000" w:rsidP="00000000" w:rsidRDefault="00000000" w:rsidRPr="00000000" w14:paraId="0000003A">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Legal representatives of the Applicant and assigned Project Managers have not been criminally convicted,  and are not under any ongoing criminal investigation and proceeding (excluding minor traffic violations)</w:t>
      </w:r>
    </w:p>
    <w:p w:rsidR="00000000" w:rsidDel="00000000" w:rsidP="00000000" w:rsidRDefault="00000000" w:rsidRPr="00000000" w14:paraId="0000003B">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has not been issued with prohibition on performing their activities within two years before submitting the application.</w:t>
      </w:r>
    </w:p>
    <w:p w:rsidR="00000000" w:rsidDel="00000000" w:rsidP="00000000" w:rsidRDefault="00000000" w:rsidRPr="00000000" w14:paraId="0000003C">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owns or rents business premises appropriate for implementation of project activities. The Applicant is not producing anything that infringes copyright, trademark or intellectual property laws.</w:t>
      </w:r>
    </w:p>
    <w:p w:rsidR="00000000" w:rsidDel="00000000" w:rsidP="00000000" w:rsidRDefault="00000000" w:rsidRPr="00000000" w14:paraId="0000003D">
      <w:pPr>
        <w:widowControl w:val="0"/>
        <w:numPr>
          <w:ilvl w:val="0"/>
          <w:numId w:val="1"/>
        </w:numPr>
        <w:tabs>
          <w:tab w:val="left" w:leader="none" w:pos="541"/>
        </w:tabs>
        <w:spacing w:before="34" w:line="240" w:lineRule="auto"/>
        <w:ind w:left="0" w:right="4" w:hanging="361"/>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understands that the EU PRO Plus is not obligated to award every submitted application. The binding contract will be awarded only after a positive final assessment of the application.       </w:t>
      </w:r>
    </w:p>
    <w:p w:rsidR="00000000" w:rsidDel="00000000" w:rsidP="00000000" w:rsidRDefault="00000000" w:rsidRPr="00000000" w14:paraId="0000003E">
      <w:pPr>
        <w:spacing w:after="160" w:line="360" w:lineRule="auto"/>
        <w:rPr>
          <w:rFonts w:ascii="Open Sans" w:cs="Open Sans" w:eastAsia="Open Sans" w:hAnsi="Open Sans"/>
          <w:sz w:val="20"/>
          <w:szCs w:val="20"/>
        </w:rPr>
      </w:pPr>
      <w:r w:rsidDel="00000000" w:rsidR="00000000" w:rsidRPr="00000000">
        <w:rPr>
          <w:rtl w:val="0"/>
        </w:rPr>
      </w:r>
    </w:p>
    <w:tbl>
      <w:tblPr>
        <w:tblStyle w:val="Table1"/>
        <w:tblW w:w="9480.0" w:type="dxa"/>
        <w:jc w:val="left"/>
        <w:tblLayout w:type="fixed"/>
        <w:tblLook w:val="0000"/>
      </w:tblPr>
      <w:tblGrid>
        <w:gridCol w:w="2655"/>
        <w:gridCol w:w="6825"/>
        <w:tblGridChange w:id="0">
          <w:tblGrid>
            <w:gridCol w:w="2655"/>
            <w:gridCol w:w="6825"/>
          </w:tblGrid>
        </w:tblGridChange>
      </w:tblGrid>
      <w:tr>
        <w:trPr>
          <w:cantSplit w:val="0"/>
          <w:trHeight w:val="717"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3F">
            <w:pPr>
              <w:widowControl w:val="0"/>
              <w:spacing w:before="9" w:line="11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40">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The Applicant </w:t>
            </w:r>
          </w:p>
          <w:p w:rsidR="00000000" w:rsidDel="00000000" w:rsidP="00000000" w:rsidRDefault="00000000" w:rsidRPr="00000000" w14:paraId="00000041">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(legal entity full name)</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2">
            <w:pPr>
              <w:spacing w:after="160" w:line="259" w:lineRule="auto"/>
              <w:rPr>
                <w:rFonts w:ascii="Open Sans" w:cs="Open Sans" w:eastAsia="Open Sans" w:hAnsi="Open Sans"/>
                <w:sz w:val="20"/>
                <w:szCs w:val="20"/>
              </w:rPr>
            </w:pPr>
            <w:r w:rsidDel="00000000" w:rsidR="00000000" w:rsidRPr="00000000">
              <w:rPr>
                <w:rtl w:val="0"/>
              </w:rPr>
            </w:r>
          </w:p>
        </w:tc>
      </w:tr>
      <w:tr>
        <w:trPr>
          <w:cantSplit w:val="0"/>
          <w:trHeight w:val="717"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3">
            <w:pPr>
              <w:widowControl w:val="0"/>
              <w:spacing w:before="9" w:line="11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44">
            <w:pPr>
              <w:widowControl w:val="0"/>
              <w:spacing w:before="9" w:line="11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Project title</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5">
            <w:pPr>
              <w:spacing w:after="160" w:line="259"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46">
      <w:pPr>
        <w:spacing w:after="160" w:line="36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7">
      <w:pPr>
        <w:shd w:fill="ffffff" w:val="clear"/>
        <w:spacing w:after="20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Signed on behalf of the Applicant:</w:t>
      </w:r>
    </w:p>
    <w:tbl>
      <w:tblPr>
        <w:tblStyle w:val="Table2"/>
        <w:tblW w:w="9510.0" w:type="dxa"/>
        <w:jc w:val="left"/>
        <w:tblInd w:w="-30.0" w:type="dxa"/>
        <w:tblLayout w:type="fixed"/>
        <w:tblLook w:val="0000"/>
      </w:tblPr>
      <w:tblGrid>
        <w:gridCol w:w="2685"/>
        <w:gridCol w:w="6825"/>
        <w:tblGridChange w:id="0">
          <w:tblGrid>
            <w:gridCol w:w="2685"/>
            <w:gridCol w:w="6825"/>
          </w:tblGrid>
        </w:tblGridChange>
      </w:tblGrid>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8">
            <w:pPr>
              <w:widowControl w:val="0"/>
              <w:spacing w:before="9" w:line="11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49">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Name</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A">
            <w:pPr>
              <w:spacing w:after="160" w:line="259" w:lineRule="auto"/>
              <w:rPr>
                <w:rFonts w:ascii="Open Sans" w:cs="Open Sans" w:eastAsia="Open Sans" w:hAnsi="Open Sans"/>
                <w:sz w:val="20"/>
                <w:szCs w:val="20"/>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B">
            <w:pPr>
              <w:widowControl w:val="0"/>
              <w:spacing w:before="9" w:line="11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4C">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Signature</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D">
            <w:pPr>
              <w:spacing w:after="160" w:line="259" w:lineRule="auto"/>
              <w:rPr>
                <w:rFonts w:ascii="Open Sans" w:cs="Open Sans" w:eastAsia="Open Sans" w:hAnsi="Open Sans"/>
                <w:sz w:val="20"/>
                <w:szCs w:val="20"/>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4E">
            <w:pPr>
              <w:widowControl w:val="0"/>
              <w:spacing w:before="9" w:line="11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4F">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Position</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0">
            <w:pPr>
              <w:spacing w:after="160" w:line="259" w:lineRule="auto"/>
              <w:rPr>
                <w:rFonts w:ascii="Open Sans" w:cs="Open Sans" w:eastAsia="Open Sans" w:hAnsi="Open Sans"/>
                <w:sz w:val="20"/>
                <w:szCs w:val="20"/>
              </w:rPr>
            </w:pPr>
            <w:r w:rsidDel="00000000" w:rsidR="00000000" w:rsidRPr="00000000">
              <w:rPr>
                <w:rtl w:val="0"/>
              </w:rPr>
            </w:r>
          </w:p>
        </w:tc>
      </w:tr>
      <w:tr>
        <w:trPr>
          <w:cantSplit w:val="0"/>
          <w:trHeight w:val="600" w:hRule="atLeast"/>
          <w:tblHeader w:val="0"/>
        </w:trPr>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1">
            <w:pPr>
              <w:widowControl w:val="0"/>
              <w:spacing w:before="9" w:line="11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52">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Date</w:t>
            </w:r>
          </w:p>
        </w:tc>
        <w:tc>
          <w:tcPr>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053">
            <w:pPr>
              <w:spacing w:after="160" w:line="259"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54">
      <w:pPr>
        <w:shd w:fill="ffffff" w:val="clear"/>
        <w:spacing w:after="200" w:line="240" w:lineRule="auto"/>
        <w:jc w:val="both"/>
        <w:rPr>
          <w:rFonts w:ascii="Open Sans" w:cs="Open Sans" w:eastAsia="Open Sans" w:hAnsi="Open Sans"/>
          <w:color w:val="404040"/>
          <w:sz w:val="20"/>
          <w:szCs w:val="20"/>
        </w:rPr>
      </w:pPr>
      <w:r w:rsidDel="00000000" w:rsidR="00000000" w:rsidRPr="00000000">
        <w:rPr>
          <w:rFonts w:ascii="Open Sans" w:cs="Open Sans" w:eastAsia="Open Sans" w:hAnsi="Open Sans"/>
          <w:sz w:val="20"/>
          <w:szCs w:val="20"/>
          <w:rtl w:val="0"/>
        </w:rPr>
        <w:t xml:space="preserve">This Call for Proposals is subject to acceptance within the validity period stipulated in the CFP document</w:t>
      </w:r>
      <w:r w:rsidDel="00000000" w:rsidR="00000000" w:rsidRPr="00000000">
        <w:rPr>
          <w:rtl w:val="0"/>
        </w:rPr>
      </w:r>
    </w:p>
    <w:p w:rsidR="00000000" w:rsidDel="00000000" w:rsidP="00000000" w:rsidRDefault="00000000" w:rsidRPr="00000000" w14:paraId="00000055">
      <w:pPr>
        <w:rPr>
          <w:rFonts w:ascii="Calibri" w:cs="Calibri" w:eastAsia="Calibri" w:hAnsi="Calibri"/>
        </w:rPr>
      </w:pPr>
      <w:r w:rsidDel="00000000" w:rsidR="00000000" w:rsidRPr="00000000">
        <w:rPr>
          <w:rtl w:val="0"/>
        </w:rPr>
      </w:r>
    </w:p>
    <w:sectPr>
      <w:headerReference r:id="rId9" w:type="default"/>
      <w:headerReference r:id="rId10" w:type="first"/>
      <w:footerReference r:id="rId11" w:type="default"/>
      <w:footerReference r:id="rId12"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rPr>
        <w:rFonts w:ascii="Open Sans" w:cs="Open Sans" w:eastAsia="Open Sans" w:hAnsi="Open Sans"/>
        <w:sz w:val="18"/>
        <w:szCs w:val="18"/>
      </w:rPr>
    </w:pPr>
    <w:r w:rsidDel="00000000" w:rsidR="00000000" w:rsidRPr="00000000">
      <w:rPr>
        <w:rFonts w:ascii="Open Sans" w:cs="Open Sans" w:eastAsia="Open Sans" w:hAnsi="Open Sans"/>
        <w:sz w:val="18"/>
        <w:szCs w:val="18"/>
      </w:rPr>
      <w:fldChar w:fldCharType="begin"/>
      <w:instrText xml:space="preserve">PAGE</w:instrText>
      <w:fldChar w:fldCharType="separate"/>
      <w:fldChar w:fldCharType="end"/>
    </w:r>
    <w:r w:rsidDel="00000000" w:rsidR="00000000" w:rsidRPr="00000000">
      <w:rPr>
        <w:rFonts w:ascii="Open Sans" w:cs="Open Sans" w:eastAsia="Open Sans" w:hAnsi="Open Sans"/>
        <w:sz w:val="18"/>
        <w:szCs w:val="18"/>
        <w:rtl w:val="0"/>
      </w:rPr>
      <w:t xml:space="preserve"> of </w:t>
    </w:r>
    <w:r w:rsidDel="00000000" w:rsidR="00000000" w:rsidRPr="00000000">
      <w:rPr>
        <w:rFonts w:ascii="Open Sans" w:cs="Open Sans" w:eastAsia="Open Sans" w:hAnsi="Open Sans"/>
        <w:sz w:val="18"/>
        <w:szCs w:val="18"/>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6">
      <w:pPr>
        <w:spacing w:line="240" w:lineRule="auto"/>
        <w:rPr>
          <w:rFonts w:ascii="Open Sans" w:cs="Open Sans" w:eastAsia="Open Sans" w:hAnsi="Open Sans"/>
          <w:sz w:val="16"/>
          <w:szCs w:val="16"/>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6"/>
          <w:szCs w:val="16"/>
          <w:vertAlign w:val="superscript"/>
          <w:rtl w:val="0"/>
        </w:rPr>
        <w:t xml:space="preserve"> </w:t>
      </w:r>
      <w:r w:rsidDel="00000000" w:rsidR="00000000" w:rsidRPr="00000000">
        <w:rPr>
          <w:rFonts w:ascii="Open Sans" w:cs="Open Sans" w:eastAsia="Open Sans" w:hAnsi="Open Sans"/>
          <w:sz w:val="16"/>
          <w:szCs w:val="16"/>
          <w:rtl w:val="0"/>
        </w:rPr>
        <w:t xml:space="preserve">See the  </w:t>
      </w:r>
      <w:hyperlink r:id="rId1">
        <w:r w:rsidDel="00000000" w:rsidR="00000000" w:rsidRPr="00000000">
          <w:rPr>
            <w:rFonts w:ascii="Open Sans" w:cs="Open Sans" w:eastAsia="Open Sans" w:hAnsi="Open Sans"/>
            <w:color w:val="1155cc"/>
            <w:sz w:val="16"/>
            <w:szCs w:val="16"/>
            <w:u w:val="single"/>
            <w:rtl w:val="0"/>
          </w:rPr>
          <w:t xml:space="preserve">Communication and Visibility Requirements for EU External Actions</w:t>
        </w:r>
      </w:hyperlink>
      <w:r w:rsidDel="00000000" w:rsidR="00000000" w:rsidRPr="00000000">
        <w:rPr>
          <w:rFonts w:ascii="Open Sans" w:cs="Open Sans" w:eastAsia="Open Sans" w:hAnsi="Open Sans"/>
          <w:sz w:val="16"/>
          <w:szCs w:val="16"/>
          <w:rtl w:val="0"/>
        </w:rPr>
        <w:t xml:space="preserve"> at </w:t>
      </w:r>
      <w:hyperlink r:id="rId2">
        <w:r w:rsidDel="00000000" w:rsidR="00000000" w:rsidRPr="00000000">
          <w:rPr>
            <w:rFonts w:ascii="Open Sans" w:cs="Open Sans" w:eastAsia="Open Sans" w:hAnsi="Open Sans"/>
            <w:color w:val="1155cc"/>
            <w:sz w:val="16"/>
            <w:szCs w:val="16"/>
            <w:u w:val="single"/>
            <w:rtl w:val="0"/>
          </w:rPr>
          <w:t xml:space="preserve">https://ec.europa.eu/international-partnerships/system/files/communication-visibility-requirements-2018_en.pdf</w:t>
        </w:r>
      </w:hyperlink>
      <w:r w:rsidDel="00000000" w:rsidR="00000000" w:rsidRPr="00000000">
        <w:rPr>
          <w:rFonts w:ascii="Open Sans" w:cs="Open Sans" w:eastAsia="Open Sans" w:hAnsi="Open Sans"/>
          <w:sz w:val="16"/>
          <w:szCs w:val="16"/>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rPr/>
    </w:pPr>
    <w:r w:rsidDel="00000000" w:rsidR="00000000" w:rsidRPr="00000000">
      <w:rPr/>
      <w:drawing>
        <wp:anchor allowOverlap="1" behindDoc="0" distB="0" distT="0" distL="0" distR="0" hidden="0" layoutInCell="1" locked="0" relativeHeight="0" simplePos="0">
          <wp:simplePos x="0" y="0"/>
          <wp:positionH relativeFrom="page">
            <wp:posOffset>-1423</wp:posOffset>
          </wp:positionH>
          <wp:positionV relativeFrom="page">
            <wp:posOffset>-190498</wp:posOffset>
          </wp:positionV>
          <wp:extent cx="7560000" cy="1431675"/>
          <wp:effectExtent b="0" l="0" r="0" t="0"/>
          <wp:wrapTopAndBottom distB="0" dist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60000" cy="1431675"/>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tabs>
        <w:tab w:val="left" w:leader="none" w:pos="7079"/>
      </w:tabs>
      <w:spacing w:after="240" w:lineRule="auto"/>
      <w:ind w:right="-419"/>
      <w:rPr/>
    </w:pPr>
    <w:r w:rsidDel="00000000" w:rsidR="00000000" w:rsidRPr="00000000">
      <w:rPr>
        <w:rFonts w:ascii="Open Sans" w:cs="Open Sans" w:eastAsia="Open Sans" w:hAnsi="Open Sans"/>
        <w:b w:val="1"/>
        <w:color w:val="666666"/>
        <w:sz w:val="12"/>
        <w:szCs w:val="12"/>
        <w:rtl w:val="0"/>
      </w:rPr>
      <w:t xml:space="preserve">CFP 002-EUPROPLUS-2023</w:t>
      <w:tab/>
    </w:r>
    <w:r w:rsidDel="00000000" w:rsidR="00000000" w:rsidRPr="00000000">
      <w:rPr>
        <w:rFonts w:ascii="Open Sans" w:cs="Open Sans" w:eastAsia="Open Sans" w:hAnsi="Open Sans"/>
        <w:b w:val="1"/>
        <w:color w:val="666666"/>
        <w:sz w:val="12"/>
        <w:szCs w:val="12"/>
      </w:rPr>
      <w:drawing>
        <wp:inline distB="57150" distT="57150" distL="57150" distR="57150">
          <wp:extent cx="1436269" cy="405327"/>
          <wp:effectExtent b="0" l="0" r="0" t="0"/>
          <wp:docPr id="6" name="image2.png"/>
          <a:graphic>
            <a:graphicData uri="http://schemas.openxmlformats.org/drawingml/2006/picture">
              <pic:pic>
                <pic:nvPicPr>
                  <pic:cNvPr id="0" name="image2.png"/>
                  <pic:cNvPicPr preferRelativeResize="0"/>
                </pic:nvPicPr>
                <pic:blipFill>
                  <a:blip r:embed="rId1"/>
                  <a:srcRect b="0" l="-2492" r="4028" t="0"/>
                  <a:stretch>
                    <a:fillRect/>
                  </a:stretch>
                </pic:blipFill>
                <pic:spPr>
                  <a:xfrm>
                    <a:off x="0" y="0"/>
                    <a:ext cx="1436269" cy="40532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0" w:hanging="361"/>
      </w:pPr>
      <w:rPr>
        <w:rFonts w:ascii="Calibri" w:cs="Calibri" w:eastAsia="Calibri" w:hAnsi="Calibri"/>
        <w:sz w:val="22"/>
        <w:szCs w:val="22"/>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ec.europa.eu/international-partnerships/system/files/communication-visibility-requirements-2018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SemiBold-regular.ttf"/><Relationship Id="rId2" Type="http://schemas.openxmlformats.org/officeDocument/2006/relationships/font" Target="fonts/MontserratSemiBold-bold.ttf"/><Relationship Id="rId3" Type="http://schemas.openxmlformats.org/officeDocument/2006/relationships/font" Target="fonts/MontserratSemiBold-italic.ttf"/><Relationship Id="rId4" Type="http://schemas.openxmlformats.org/officeDocument/2006/relationships/font" Target="fonts/MontserratSemiBold-boldItalic.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ternational-partnerships/system/files/communication-visibility-requirements-2018_en.pdf" TargetMode="External"/><Relationship Id="rId2" Type="http://schemas.openxmlformats.org/officeDocument/2006/relationships/hyperlink" Target="https://ec.europa.eu/international-partnerships/system/files/communication-visibility-requirements-2018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nxitTcFJvz5LLgGtSQzmVzA6brQ==">AMUW2mWxrAri7sFmQtnGg52DElfRtG8VpXFMXHGjeaaU/HnNJTX+E2bB3JNwJrfKNOdO5kg50K3kn9GfJiPf7POBw7kqrb5WSxCpCUYwnopdCP03ZR2OFDSdSU2LBYdNHNCHXTpfNJ+FwlG4Y74bD5zWh9A1lQEsHzA6eCOq5nBS9+N43vlIyYb7tYspCsW9dtst39SMZunGGkNC6h0znLvIEUBEe6LQBShM/zBOTmPUuBxhdOVuRSed1Wd5ZRqEs16yhws8kwKY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