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30j0zll" w:id="1"/>
      <w:bookmarkEnd w:id="1"/>
      <w:r w:rsidDel="00000000" w:rsidR="00000000" w:rsidRPr="00000000">
        <w:rPr>
          <w:rtl w:val="0"/>
        </w:rPr>
      </w:r>
    </w:p>
    <w:p w:rsidR="00000000" w:rsidDel="00000000" w:rsidP="00000000" w:rsidRDefault="00000000" w:rsidRPr="00000000" w14:paraId="00000003">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1fob9te" w:id="2"/>
      <w:bookmarkEnd w:id="2"/>
      <w:r w:rsidDel="00000000" w:rsidR="00000000" w:rsidRPr="00000000">
        <w:rPr>
          <w:rtl w:val="0"/>
        </w:rPr>
      </w:r>
    </w:p>
    <w:p w:rsidR="00000000" w:rsidDel="00000000" w:rsidP="00000000" w:rsidRDefault="00000000" w:rsidRPr="00000000" w14:paraId="00000004">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3znysh7" w:id="3"/>
      <w:bookmarkEnd w:id="3"/>
      <w:r w:rsidDel="00000000" w:rsidR="00000000" w:rsidRPr="00000000">
        <w:rPr>
          <w:rtl w:val="0"/>
        </w:rPr>
      </w:r>
    </w:p>
    <w:p w:rsidR="00000000" w:rsidDel="00000000" w:rsidP="00000000" w:rsidRDefault="00000000" w:rsidRPr="00000000" w14:paraId="00000005">
      <w:pPr>
        <w:pageBreakBefore w:val="0"/>
        <w:spacing w:after="240" w:line="240" w:lineRule="auto"/>
        <w:jc w:val="center"/>
        <w:rPr>
          <w:rFonts w:ascii="Montserrat" w:cs="Montserrat" w:eastAsia="Montserrat" w:hAnsi="Montserrat"/>
          <w:b w:val="1"/>
          <w:color w:val="263e93"/>
          <w:sz w:val="28"/>
          <w:szCs w:val="28"/>
        </w:rPr>
      </w:pPr>
      <w:r w:rsidDel="00000000" w:rsidR="00000000" w:rsidRPr="00000000">
        <w:rPr>
          <w:rFonts w:ascii="Montserrat" w:cs="Montserrat" w:eastAsia="Montserrat" w:hAnsi="Montserrat"/>
          <w:b w:val="1"/>
          <w:color w:val="263e93"/>
          <w:sz w:val="28"/>
          <w:szCs w:val="28"/>
          <w:rtl w:val="0"/>
        </w:rPr>
        <w:t xml:space="preserve">Public Call for implementation of integrated projects deriving from the twelve territorial strategies supported by the EU PRO Plus programme</w:t>
      </w:r>
    </w:p>
    <w:p w:rsidR="00000000" w:rsidDel="00000000" w:rsidP="00000000" w:rsidRDefault="00000000" w:rsidRPr="00000000" w14:paraId="00000006">
      <w:pPr>
        <w:pageBreakBefore w:val="0"/>
        <w:spacing w:after="240" w:before="480" w:line="240" w:lineRule="auto"/>
        <w:rPr>
          <w:rFonts w:ascii="Montserrat SemiBold" w:cs="Montserrat SemiBold" w:eastAsia="Montserrat SemiBold" w:hAnsi="Montserrat SemiBold"/>
          <w:color w:val="263e93"/>
          <w:sz w:val="28"/>
          <w:szCs w:val="28"/>
        </w:rPr>
      </w:pPr>
      <w:r w:rsidDel="00000000" w:rsidR="00000000" w:rsidRPr="00000000">
        <w:rPr>
          <w:rtl w:val="0"/>
        </w:rPr>
      </w:r>
    </w:p>
    <w:p w:rsidR="00000000" w:rsidDel="00000000" w:rsidP="00000000" w:rsidRDefault="00000000" w:rsidRPr="00000000" w14:paraId="00000007">
      <w:pPr>
        <w:pageBreakBefore w:val="0"/>
        <w:spacing w:after="240" w:before="480" w:line="240" w:lineRule="auto"/>
        <w:rPr>
          <w:rFonts w:ascii="Montserrat SemiBold" w:cs="Montserrat SemiBold" w:eastAsia="Montserrat SemiBold" w:hAnsi="Montserrat SemiBold"/>
          <w:color w:val="263e93"/>
          <w:sz w:val="28"/>
          <w:szCs w:val="28"/>
        </w:rPr>
      </w:pPr>
      <w:r w:rsidDel="00000000" w:rsidR="00000000" w:rsidRPr="00000000">
        <w:rPr>
          <w:rtl w:val="0"/>
        </w:rPr>
      </w:r>
    </w:p>
    <w:p w:rsidR="00000000" w:rsidDel="00000000" w:rsidP="00000000" w:rsidRDefault="00000000" w:rsidRPr="00000000" w14:paraId="00000008">
      <w:pPr>
        <w:pageBreakBefore w:val="0"/>
        <w:spacing w:after="240" w:before="480" w:line="240" w:lineRule="auto"/>
        <w:jc w:val="center"/>
        <w:rPr>
          <w:rFonts w:ascii="Calibri" w:cs="Calibri" w:eastAsia="Calibri" w:hAnsi="Calibri"/>
          <w:color w:val="1f4d78"/>
          <w:sz w:val="24"/>
          <w:szCs w:val="24"/>
        </w:rPr>
      </w:pPr>
      <w:r w:rsidDel="00000000" w:rsidR="00000000" w:rsidRPr="00000000">
        <w:rPr>
          <w:rFonts w:ascii="Montserrat SemiBold" w:cs="Montserrat SemiBold" w:eastAsia="Montserrat SemiBold" w:hAnsi="Montserrat SemiBold"/>
          <w:color w:val="263e93"/>
          <w:sz w:val="28"/>
          <w:szCs w:val="28"/>
          <w:rtl w:val="0"/>
        </w:rPr>
        <w:t xml:space="preserve">Annex J</w:t>
      </w:r>
      <w:r w:rsidDel="00000000" w:rsidR="00000000" w:rsidRPr="00000000">
        <w:rPr>
          <w:rFonts w:ascii="Calibri" w:cs="Calibri" w:eastAsia="Calibri" w:hAnsi="Calibri"/>
          <w:color w:val="1f4d78"/>
          <w:sz w:val="24"/>
          <w:szCs w:val="24"/>
          <w:rtl w:val="0"/>
        </w:rPr>
        <w:t xml:space="preserve"> </w:t>
      </w:r>
      <w:r w:rsidDel="00000000" w:rsidR="00000000" w:rsidRPr="00000000">
        <w:rPr>
          <w:rFonts w:ascii="Montserrat SemiBold" w:cs="Montserrat SemiBold" w:eastAsia="Montserrat SemiBold" w:hAnsi="Montserrat SemiBold"/>
          <w:color w:val="263e93"/>
          <w:sz w:val="28"/>
          <w:szCs w:val="28"/>
          <w:rtl w:val="0"/>
        </w:rPr>
        <w:t xml:space="preserve">Contribution to Objectives Framework Indicators</w:t>
      </w:r>
      <w:r w:rsidDel="00000000" w:rsidR="00000000" w:rsidRPr="00000000">
        <w:rPr>
          <w:rtl w:val="0"/>
        </w:rPr>
      </w:r>
    </w:p>
    <w:p w:rsidR="00000000" w:rsidDel="00000000" w:rsidP="00000000" w:rsidRDefault="00000000" w:rsidRPr="00000000" w14:paraId="00000009">
      <w:pPr>
        <w:pageBreakBefore w:val="0"/>
        <w:spacing w:after="240" w:line="240" w:lineRule="auto"/>
        <w:jc w:val="center"/>
        <w:rPr>
          <w:rFonts w:ascii="Montserrat SemiBold" w:cs="Montserrat SemiBold" w:eastAsia="Montserrat SemiBold" w:hAnsi="Montserrat SemiBold"/>
          <w:color w:val="263e93"/>
          <w:sz w:val="28"/>
          <w:szCs w:val="28"/>
        </w:rPr>
      </w:pPr>
      <w:r w:rsidDel="00000000" w:rsidR="00000000" w:rsidRPr="00000000">
        <w:rPr>
          <w:rFonts w:ascii="Montserrat" w:cs="Montserrat" w:eastAsia="Montserrat" w:hAnsi="Montserrat"/>
          <w:color w:val="1f4d78"/>
          <w:sz w:val="24"/>
          <w:szCs w:val="24"/>
          <w:rtl w:val="0"/>
        </w:rPr>
        <w:t xml:space="preserve">Reference: Call for Proposals number</w:t>
      </w:r>
      <w:r w:rsidDel="00000000" w:rsidR="00000000" w:rsidRPr="00000000">
        <w:rPr>
          <w:rFonts w:ascii="Calibri" w:cs="Calibri" w:eastAsia="Calibri" w:hAnsi="Calibri"/>
          <w:color w:val="1f4d78"/>
          <w:sz w:val="24"/>
          <w:szCs w:val="24"/>
          <w:rtl w:val="0"/>
        </w:rPr>
        <w:t xml:space="preserve"> </w:t>
      </w:r>
      <w:r w:rsidDel="00000000" w:rsidR="00000000" w:rsidRPr="00000000">
        <w:rPr>
          <w:rFonts w:ascii="Montserrat" w:cs="Montserrat" w:eastAsia="Montserrat" w:hAnsi="Montserrat"/>
          <w:color w:val="263e93"/>
          <w:sz w:val="24"/>
          <w:szCs w:val="24"/>
          <w:rtl w:val="0"/>
        </w:rPr>
        <w:t xml:space="preserve">CFP </w:t>
      </w:r>
      <w:r w:rsidDel="00000000" w:rsidR="00000000" w:rsidRPr="00000000">
        <w:rPr>
          <w:rFonts w:ascii="Montserrat" w:cs="Montserrat" w:eastAsia="Montserrat" w:hAnsi="Montserrat"/>
          <w:color w:val="263e93"/>
          <w:sz w:val="24"/>
          <w:szCs w:val="24"/>
          <w:rtl w:val="0"/>
        </w:rPr>
        <w:t xml:space="preserve">002-EUPROPLUS-2023</w:t>
      </w:r>
      <w:r w:rsidDel="00000000" w:rsidR="00000000" w:rsidRPr="00000000">
        <w:rPr>
          <w:rtl w:val="0"/>
        </w:rPr>
      </w:r>
    </w:p>
    <w:p w:rsidR="00000000" w:rsidDel="00000000" w:rsidP="00000000" w:rsidRDefault="00000000" w:rsidRPr="00000000" w14:paraId="0000000A">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2et92p0" w:id="4"/>
      <w:bookmarkEnd w:id="4"/>
      <w:r w:rsidDel="00000000" w:rsidR="00000000" w:rsidRPr="00000000">
        <w:rPr>
          <w:rtl w:val="0"/>
        </w:rPr>
      </w:r>
    </w:p>
    <w:p w:rsidR="00000000" w:rsidDel="00000000" w:rsidP="00000000" w:rsidRDefault="00000000" w:rsidRPr="00000000" w14:paraId="0000000B">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tyjcwt" w:id="5"/>
      <w:bookmarkEnd w:id="5"/>
      <w:r w:rsidDel="00000000" w:rsidR="00000000" w:rsidRPr="00000000">
        <w:rPr>
          <w:rtl w:val="0"/>
        </w:rPr>
      </w:r>
    </w:p>
    <w:p w:rsidR="00000000" w:rsidDel="00000000" w:rsidP="00000000" w:rsidRDefault="00000000" w:rsidRPr="00000000" w14:paraId="0000000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jc w:val="center"/>
        <w:rPr>
          <w:rFonts w:ascii="Montserrat SemiBold" w:cs="Montserrat SemiBold" w:eastAsia="Montserrat SemiBold" w:hAnsi="Montserrat SemiBold"/>
          <w:color w:val="263e93"/>
          <w:sz w:val="28"/>
          <w:szCs w:val="28"/>
        </w:rPr>
      </w:pPr>
      <w:r w:rsidDel="00000000" w:rsidR="00000000" w:rsidRPr="00000000">
        <w:rPr>
          <w:rtl w:val="0"/>
        </w:rPr>
      </w:r>
    </w:p>
    <w:p w:rsidR="00000000" w:rsidDel="00000000" w:rsidP="00000000" w:rsidRDefault="00000000" w:rsidRPr="00000000" w14:paraId="0000000D">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1t3h5sf" w:id="6"/>
      <w:bookmarkEnd w:id="6"/>
      <w:r w:rsidDel="00000000" w:rsidR="00000000" w:rsidRPr="00000000">
        <w:rPr>
          <w:rtl w:val="0"/>
        </w:rPr>
      </w:r>
    </w:p>
    <w:p w:rsidR="00000000" w:rsidDel="00000000" w:rsidP="00000000" w:rsidRDefault="00000000" w:rsidRPr="00000000" w14:paraId="0000000E">
      <w:pPr>
        <w:pStyle w:val="Heading2"/>
        <w:pageBreakBefore w:val="0"/>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4d34og8" w:id="7"/>
      <w:bookmarkEnd w:id="7"/>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rtl w:val="0"/>
        </w:rPr>
      </w:r>
    </w:p>
    <w:p w:rsidR="00000000" w:rsidDel="00000000" w:rsidP="00000000" w:rsidRDefault="00000000" w:rsidRPr="00000000" w14:paraId="00000021">
      <w:pPr>
        <w:spacing w:after="240" w:before="480" w:line="240" w:lineRule="auto"/>
        <w:jc w:val="center"/>
        <w:rPr/>
      </w:pPr>
      <w:r w:rsidDel="00000000" w:rsidR="00000000" w:rsidRPr="00000000">
        <w:rPr>
          <w:rFonts w:ascii="Montserrat SemiBold" w:cs="Montserrat SemiBold" w:eastAsia="Montserrat SemiBold" w:hAnsi="Montserrat SemiBold"/>
          <w:color w:val="263e93"/>
          <w:sz w:val="28"/>
          <w:szCs w:val="28"/>
          <w:rtl w:val="0"/>
        </w:rPr>
        <w:t xml:space="preserve">Objectives Framework Indicators</w:t>
      </w: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rtl w:val="0"/>
        </w:rPr>
      </w:r>
    </w:p>
    <w:tbl>
      <w:tblPr>
        <w:tblStyle w:val="Table1"/>
        <w:tblW w:w="93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15"/>
        <w:gridCol w:w="2655"/>
        <w:gridCol w:w="2265"/>
        <w:gridCol w:w="1125"/>
        <w:tblGridChange w:id="0">
          <w:tblGrid>
            <w:gridCol w:w="3315"/>
            <w:gridCol w:w="2655"/>
            <w:gridCol w:w="2265"/>
            <w:gridCol w:w="1125"/>
          </w:tblGrid>
        </w:tblGridChange>
      </w:tblGrid>
      <w:tr>
        <w:trPr>
          <w:cantSplit w:val="0"/>
          <w:tblHeader w:val="0"/>
        </w:trPr>
        <w:tc>
          <w:tcPr>
            <w:shd w:fill="auto" w:val="clear"/>
          </w:tcPr>
          <w:p w:rsidR="00000000" w:rsidDel="00000000" w:rsidP="00000000" w:rsidRDefault="00000000" w:rsidRPr="00000000" w14:paraId="00000023">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areas and objectives</w:t>
            </w:r>
          </w:p>
        </w:tc>
        <w:tc>
          <w:tcPr>
            <w:shd w:fill="auto" w:val="clear"/>
          </w:tcPr>
          <w:p w:rsidR="00000000" w:rsidDel="00000000" w:rsidP="00000000" w:rsidRDefault="00000000" w:rsidRPr="00000000" w14:paraId="00000024">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Indicators</w:t>
            </w:r>
          </w:p>
        </w:tc>
        <w:tc>
          <w:tcPr>
            <w:shd w:fill="auto" w:val="clear"/>
          </w:tcPr>
          <w:p w:rsidR="00000000" w:rsidDel="00000000" w:rsidP="00000000" w:rsidRDefault="00000000" w:rsidRPr="00000000" w14:paraId="00000025">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Units</w:t>
            </w:r>
          </w:p>
        </w:tc>
        <w:tc>
          <w:tcPr>
            <w:shd w:fill="auto" w:val="clear"/>
          </w:tcPr>
          <w:p w:rsidR="00000000" w:rsidDel="00000000" w:rsidP="00000000" w:rsidRDefault="00000000" w:rsidRPr="00000000" w14:paraId="00000026">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Sources</w:t>
            </w:r>
          </w:p>
        </w:tc>
      </w:tr>
      <w:tr>
        <w:trPr>
          <w:cantSplit w:val="0"/>
          <w:tblHeader w:val="0"/>
        </w:trPr>
        <w:tc>
          <w:tcPr>
            <w:gridSpan w:val="4"/>
            <w:shd w:fill="auto" w:val="clear"/>
          </w:tcPr>
          <w:p w:rsidR="00000000" w:rsidDel="00000000" w:rsidP="00000000" w:rsidRDefault="00000000" w:rsidRPr="00000000" w14:paraId="00000027">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area 1</w:t>
            </w:r>
          </w:p>
          <w:p w:rsidR="00000000" w:rsidDel="00000000" w:rsidP="00000000" w:rsidRDefault="00000000" w:rsidRPr="00000000" w14:paraId="00000028">
            <w:pPr>
              <w:spacing w:after="200" w:lineRule="auto"/>
              <w:ind w:left="0" w:firstLine="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Identity of the urban area</w:t>
            </w:r>
          </w:p>
        </w:tc>
      </w:tr>
      <w:tr>
        <w:trPr>
          <w:cantSplit w:val="0"/>
          <w:tblHeader w:val="0"/>
        </w:trPr>
        <w:tc>
          <w:tcPr>
            <w:gridSpan w:val="4"/>
            <w:shd w:fill="auto" w:val="clear"/>
          </w:tcPr>
          <w:p w:rsidR="00000000" w:rsidDel="00000000" w:rsidP="00000000" w:rsidRDefault="00000000" w:rsidRPr="00000000" w14:paraId="0000002C">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objective: Strengthening urban identity and urban area renewal by supporting sustainable and integrated development</w:t>
            </w:r>
          </w:p>
          <w:p w:rsidR="00000000" w:rsidDel="00000000" w:rsidP="00000000" w:rsidRDefault="00000000" w:rsidRPr="00000000" w14:paraId="0000002D">
            <w:pPr>
              <w:widowControl w:val="0"/>
              <w:spacing w:line="240" w:lineRule="auto"/>
              <w:jc w:val="center"/>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1">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1.1 Improving and balancing the quality of development and accessibility of the urban area</w:t>
            </w:r>
          </w:p>
        </w:tc>
        <w:tc>
          <w:tcPr>
            <w:shd w:fill="auto" w:val="clear"/>
          </w:tcPr>
          <w:p w:rsidR="00000000" w:rsidDel="00000000" w:rsidP="00000000" w:rsidRDefault="00000000" w:rsidRPr="00000000" w14:paraId="0000003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Strategies for integrated territorial development supported</w:t>
            </w:r>
          </w:p>
          <w:p w:rsidR="00000000" w:rsidDel="00000000" w:rsidP="00000000" w:rsidRDefault="00000000" w:rsidRPr="00000000" w14:paraId="0000003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Integrated projects for territorial development </w:t>
            </w:r>
          </w:p>
          <w:p w:rsidR="00000000" w:rsidDel="00000000" w:rsidP="00000000" w:rsidRDefault="00000000" w:rsidRPr="00000000" w14:paraId="0000003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Open space created or rehabilitated in urban areas </w:t>
            </w:r>
          </w:p>
          <w:p w:rsidR="00000000" w:rsidDel="00000000" w:rsidP="00000000" w:rsidRDefault="00000000" w:rsidRPr="00000000" w14:paraId="0000003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Rehabilitated land used for green areas, social housing, economic or other uses</w:t>
            </w:r>
          </w:p>
        </w:tc>
        <w:tc>
          <w:tcPr>
            <w:shd w:fill="auto" w:val="clear"/>
          </w:tcPr>
          <w:p w:rsidR="00000000" w:rsidDel="00000000" w:rsidP="00000000" w:rsidRDefault="00000000" w:rsidRPr="00000000" w14:paraId="0000003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Strategies</w:t>
            </w:r>
          </w:p>
          <w:p w:rsidR="00000000" w:rsidDel="00000000" w:rsidP="00000000" w:rsidRDefault="00000000" w:rsidRPr="00000000" w14:paraId="00000037">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3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projects contracted </w:t>
            </w:r>
          </w:p>
          <w:p w:rsidR="00000000" w:rsidDel="00000000" w:rsidP="00000000" w:rsidRDefault="00000000" w:rsidRPr="00000000" w14:paraId="00000039">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3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Square metres</w:t>
            </w:r>
          </w:p>
          <w:p w:rsidR="00000000" w:rsidDel="00000000" w:rsidP="00000000" w:rsidRDefault="00000000" w:rsidRPr="00000000" w14:paraId="0000003B">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3C">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3D">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Square metres</w:t>
            </w:r>
          </w:p>
        </w:tc>
        <w:tc>
          <w:tcPr>
            <w:shd w:fill="auto" w:val="clear"/>
          </w:tcPr>
          <w:p w:rsidR="00000000" w:rsidDel="00000000" w:rsidP="00000000" w:rsidRDefault="00000000" w:rsidRPr="00000000" w14:paraId="0000003E">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75</w:t>
            </w:r>
          </w:p>
          <w:p w:rsidR="00000000" w:rsidDel="00000000" w:rsidP="00000000" w:rsidRDefault="00000000" w:rsidRPr="00000000" w14:paraId="0000003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76</w:t>
            </w:r>
          </w:p>
          <w:p w:rsidR="00000000" w:rsidDel="00000000" w:rsidP="00000000" w:rsidRDefault="00000000" w:rsidRPr="00000000" w14:paraId="00000040">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114</w:t>
            </w:r>
          </w:p>
          <w:p w:rsidR="00000000" w:rsidDel="00000000" w:rsidP="00000000" w:rsidRDefault="00000000" w:rsidRPr="00000000" w14:paraId="0000004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52</w:t>
            </w:r>
          </w:p>
          <w:p w:rsidR="00000000" w:rsidDel="00000000" w:rsidP="00000000" w:rsidRDefault="00000000" w:rsidRPr="00000000" w14:paraId="0000004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tc>
      </w:tr>
      <w:tr>
        <w:trPr>
          <w:cantSplit w:val="0"/>
          <w:tblHeader w:val="0"/>
        </w:trPr>
        <w:tc>
          <w:tcPr>
            <w:shd w:fill="auto" w:val="clear"/>
          </w:tcPr>
          <w:p w:rsidR="00000000" w:rsidDel="00000000" w:rsidP="00000000" w:rsidRDefault="00000000" w:rsidRPr="00000000" w14:paraId="00000043">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1.2 Supporting the protection of cultural and architectural heritage</w:t>
            </w:r>
          </w:p>
        </w:tc>
        <w:tc>
          <w:tcPr>
            <w:shd w:fill="auto" w:val="clear"/>
          </w:tcPr>
          <w:p w:rsidR="00000000" w:rsidDel="00000000" w:rsidP="00000000" w:rsidRDefault="00000000" w:rsidRPr="00000000" w14:paraId="00000044">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Total funds spent for the protection, preservation and conservation of cultural and architectural heritage, and vernacular architecture</w:t>
            </w:r>
          </w:p>
        </w:tc>
        <w:tc>
          <w:tcPr>
            <w:shd w:fill="auto" w:val="clear"/>
          </w:tcPr>
          <w:p w:rsidR="00000000" w:rsidDel="00000000" w:rsidP="00000000" w:rsidRDefault="00000000" w:rsidRPr="00000000" w14:paraId="00000045">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Euro</w:t>
            </w:r>
          </w:p>
        </w:tc>
        <w:tc>
          <w:tcPr>
            <w:shd w:fill="auto" w:val="clear"/>
          </w:tcPr>
          <w:p w:rsidR="00000000" w:rsidDel="00000000" w:rsidP="00000000" w:rsidRDefault="00000000" w:rsidRPr="00000000" w14:paraId="0000004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SDG 11</w:t>
            </w:r>
          </w:p>
          <w:p w:rsidR="00000000" w:rsidDel="00000000" w:rsidP="00000000" w:rsidRDefault="00000000" w:rsidRPr="00000000" w14:paraId="0000004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SDCRS</w:t>
            </w:r>
          </w:p>
          <w:p w:rsidR="00000000" w:rsidDel="00000000" w:rsidP="00000000" w:rsidRDefault="00000000" w:rsidRPr="00000000" w14:paraId="00000048">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p w:rsidR="00000000" w:rsidDel="00000000" w:rsidP="00000000" w:rsidRDefault="00000000" w:rsidRPr="00000000" w14:paraId="00000049">
            <w:pPr>
              <w:spacing w:line="240" w:lineRule="auto"/>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A">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1.3 Supporting the development of sustainable tourism</w:t>
            </w:r>
          </w:p>
        </w:tc>
        <w:tc>
          <w:tcPr>
            <w:shd w:fill="auto" w:val="clear"/>
          </w:tcPr>
          <w:p w:rsidR="00000000" w:rsidDel="00000000" w:rsidP="00000000" w:rsidRDefault="00000000" w:rsidRPr="00000000" w14:paraId="0000004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Visitors of cultural and tourism projects funded by the programme</w:t>
            </w:r>
          </w:p>
        </w:tc>
        <w:tc>
          <w:tcPr>
            <w:shd w:fill="auto" w:val="clear"/>
          </w:tcPr>
          <w:p w:rsidR="00000000" w:rsidDel="00000000" w:rsidP="00000000" w:rsidRDefault="00000000" w:rsidRPr="00000000" w14:paraId="0000004C">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increase of visitors</w:t>
            </w:r>
          </w:p>
        </w:tc>
        <w:tc>
          <w:tcPr>
            <w:shd w:fill="auto" w:val="clear"/>
          </w:tcPr>
          <w:p w:rsidR="00000000" w:rsidDel="00000000" w:rsidP="00000000" w:rsidRDefault="00000000" w:rsidRPr="00000000" w14:paraId="0000004D">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77</w:t>
            </w:r>
          </w:p>
          <w:p w:rsidR="00000000" w:rsidDel="00000000" w:rsidP="00000000" w:rsidRDefault="00000000" w:rsidRPr="00000000" w14:paraId="0000004E">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TDSRS</w:t>
            </w:r>
          </w:p>
          <w:p w:rsidR="00000000" w:rsidDel="00000000" w:rsidP="00000000" w:rsidRDefault="00000000" w:rsidRPr="00000000" w14:paraId="0000004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SPRS</w:t>
            </w:r>
          </w:p>
        </w:tc>
      </w:tr>
      <w:tr>
        <w:trPr>
          <w:cantSplit w:val="0"/>
          <w:tblHeader w:val="0"/>
        </w:trPr>
        <w:tc>
          <w:tcPr>
            <w:shd w:fill="auto" w:val="clear"/>
          </w:tcPr>
          <w:p w:rsidR="00000000" w:rsidDel="00000000" w:rsidP="00000000" w:rsidRDefault="00000000" w:rsidRPr="00000000" w14:paraId="00000050">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1.4 Supporting an integrated and sustainable approach in the rehabilitation of illegal construction and its prevention</w:t>
            </w:r>
          </w:p>
        </w:tc>
        <w:tc>
          <w:tcPr>
            <w:shd w:fill="auto" w:val="clear"/>
          </w:tcPr>
          <w:p w:rsidR="00000000" w:rsidDel="00000000" w:rsidP="00000000" w:rsidRDefault="00000000" w:rsidRPr="00000000" w14:paraId="0000005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Rehabilitated, renovated and reused substandard or informal areas and units </w:t>
            </w:r>
          </w:p>
        </w:tc>
        <w:tc>
          <w:tcPr>
            <w:shd w:fill="auto" w:val="clear"/>
          </w:tcPr>
          <w:p w:rsidR="00000000" w:rsidDel="00000000" w:rsidP="00000000" w:rsidRDefault="00000000" w:rsidRPr="00000000" w14:paraId="0000005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Hectares/Square metres</w:t>
            </w:r>
          </w:p>
        </w:tc>
        <w:tc>
          <w:tcPr>
            <w:shd w:fill="auto" w:val="clear"/>
          </w:tcPr>
          <w:p w:rsidR="00000000" w:rsidDel="00000000" w:rsidP="00000000" w:rsidRDefault="00000000" w:rsidRPr="00000000" w14:paraId="0000005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p w:rsidR="00000000" w:rsidDel="00000000" w:rsidP="00000000" w:rsidRDefault="00000000" w:rsidRPr="00000000" w14:paraId="0000005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tc>
      </w:tr>
      <w:tr>
        <w:trPr>
          <w:cantSplit w:val="0"/>
          <w:tblHeader w:val="0"/>
        </w:trPr>
        <w:tc>
          <w:tcPr>
            <w:shd w:fill="auto" w:val="clear"/>
          </w:tcPr>
          <w:p w:rsidR="00000000" w:rsidDel="00000000" w:rsidP="00000000" w:rsidRDefault="00000000" w:rsidRPr="00000000" w14:paraId="0000005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1.5 Strengthening and improving the management of urban-rural linkages</w:t>
            </w:r>
          </w:p>
        </w:tc>
        <w:tc>
          <w:tcPr>
            <w:shd w:fill="auto" w:val="clear"/>
          </w:tcPr>
          <w:p w:rsidR="00000000" w:rsidDel="00000000" w:rsidP="00000000" w:rsidRDefault="00000000" w:rsidRPr="00000000" w14:paraId="0000005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Integrated projects for territorial development of ecosystem services that rural areas provide to urban settlements</w:t>
            </w:r>
          </w:p>
        </w:tc>
        <w:tc>
          <w:tcPr>
            <w:shd w:fill="auto" w:val="clear"/>
          </w:tcPr>
          <w:p w:rsidR="00000000" w:rsidDel="00000000" w:rsidP="00000000" w:rsidRDefault="00000000" w:rsidRPr="00000000" w14:paraId="0000005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projects</w:t>
            </w:r>
          </w:p>
        </w:tc>
        <w:tc>
          <w:tcPr>
            <w:shd w:fill="auto" w:val="clear"/>
          </w:tcPr>
          <w:p w:rsidR="00000000" w:rsidDel="00000000" w:rsidP="00000000" w:rsidRDefault="00000000" w:rsidRPr="00000000" w14:paraId="0000005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76</w:t>
            </w:r>
          </w:p>
          <w:p w:rsidR="00000000" w:rsidDel="00000000" w:rsidP="00000000" w:rsidRDefault="00000000" w:rsidRPr="00000000" w14:paraId="0000005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p w:rsidR="00000000" w:rsidDel="00000000" w:rsidP="00000000" w:rsidRDefault="00000000" w:rsidRPr="00000000" w14:paraId="0000005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SARDRS</w:t>
            </w:r>
          </w:p>
        </w:tc>
      </w:tr>
      <w:tr>
        <w:trPr>
          <w:cantSplit w:val="0"/>
          <w:tblHeader w:val="0"/>
        </w:trPr>
        <w:tc>
          <w:tcPr>
            <w:gridSpan w:val="4"/>
            <w:shd w:fill="auto" w:val="clear"/>
          </w:tcPr>
          <w:p w:rsidR="00000000" w:rsidDel="00000000" w:rsidP="00000000" w:rsidRDefault="00000000" w:rsidRPr="00000000" w14:paraId="0000005B">
            <w:pPr>
              <w:spacing w:after="0" w:line="240" w:lineRule="auto"/>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area 2</w:t>
            </w:r>
          </w:p>
          <w:p w:rsidR="00000000" w:rsidDel="00000000" w:rsidP="00000000" w:rsidRDefault="00000000" w:rsidRPr="00000000" w14:paraId="0000005C">
            <w:pPr>
              <w:spacing w:after="0"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Green and energy transition and urban mobility</w:t>
            </w:r>
          </w:p>
          <w:p w:rsidR="00000000" w:rsidDel="00000000" w:rsidP="00000000" w:rsidRDefault="00000000" w:rsidRPr="00000000" w14:paraId="0000005D">
            <w:pPr>
              <w:spacing w:after="0" w:line="240" w:lineRule="auto"/>
              <w:jc w:val="both"/>
              <w:rPr>
                <w:rFonts w:ascii="Open Sans" w:cs="Open Sans" w:eastAsia="Open Sans" w:hAnsi="Open Sans"/>
                <w:b w:val="1"/>
                <w:sz w:val="18"/>
                <w:szCs w:val="18"/>
              </w:rPr>
            </w:pP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061">
            <w:pPr>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objective: Promoting transition towards clean and fair energy, green and blue investments, mitigation and adaptation to climate changes, risk prevention and management and sustainable urban mobility</w:t>
            </w:r>
          </w:p>
          <w:p w:rsidR="00000000" w:rsidDel="00000000" w:rsidP="00000000" w:rsidRDefault="00000000" w:rsidRPr="00000000" w14:paraId="00000062">
            <w:pPr>
              <w:spacing w:line="240" w:lineRule="auto"/>
              <w:jc w:val="center"/>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2.1 Improving energy efficiency and reducing greenhouse gas emissions </w:t>
            </w:r>
          </w:p>
        </w:tc>
        <w:tc>
          <w:tcPr>
            <w:shd w:fill="auto" w:val="clear"/>
          </w:tcPr>
          <w:p w:rsidR="00000000" w:rsidDel="00000000" w:rsidP="00000000" w:rsidRDefault="00000000" w:rsidRPr="00000000" w14:paraId="0000006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primary energy consumption (of which: dwellings, public buildings, enterprises, other)</w:t>
            </w:r>
          </w:p>
          <w:p w:rsidR="00000000" w:rsidDel="00000000" w:rsidP="00000000" w:rsidRDefault="00000000" w:rsidRPr="00000000" w14:paraId="0000006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Estimated greenhouse gas emissions</w:t>
            </w:r>
          </w:p>
        </w:tc>
        <w:tc>
          <w:tcPr>
            <w:shd w:fill="auto" w:val="clear"/>
          </w:tcPr>
          <w:p w:rsidR="00000000" w:rsidDel="00000000" w:rsidP="00000000" w:rsidRDefault="00000000" w:rsidRPr="00000000" w14:paraId="00000069">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Reduction in MJoules</w:t>
            </w:r>
          </w:p>
          <w:p w:rsidR="00000000" w:rsidDel="00000000" w:rsidP="00000000" w:rsidRDefault="00000000" w:rsidRPr="00000000" w14:paraId="0000006A">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6B">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6C">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6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Reduction Tonnes of CO2</w:t>
            </w:r>
          </w:p>
        </w:tc>
        <w:tc>
          <w:tcPr>
            <w:shd w:fill="auto" w:val="clear"/>
          </w:tcPr>
          <w:p w:rsidR="00000000" w:rsidDel="00000000" w:rsidP="00000000" w:rsidRDefault="00000000" w:rsidRPr="00000000" w14:paraId="0000006E">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26</w:t>
            </w:r>
          </w:p>
          <w:p w:rsidR="00000000" w:rsidDel="00000000" w:rsidP="00000000" w:rsidRDefault="00000000" w:rsidRPr="00000000" w14:paraId="0000006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29</w:t>
            </w:r>
          </w:p>
          <w:p w:rsidR="00000000" w:rsidDel="00000000" w:rsidP="00000000" w:rsidRDefault="00000000" w:rsidRPr="00000000" w14:paraId="00000070">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LCDSRS</w:t>
            </w:r>
          </w:p>
        </w:tc>
      </w:tr>
      <w:tr>
        <w:trPr>
          <w:cantSplit w:val="0"/>
          <w:tblHeader w:val="0"/>
        </w:trPr>
        <w:tc>
          <w:tcPr>
            <w:shd w:fill="auto" w:val="clear"/>
          </w:tcPr>
          <w:p w:rsidR="00000000" w:rsidDel="00000000" w:rsidP="00000000" w:rsidRDefault="00000000" w:rsidRPr="00000000" w14:paraId="00000071">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2.2 Encouraging the use of renewable energy sources</w:t>
            </w:r>
          </w:p>
        </w:tc>
        <w:tc>
          <w:tcPr>
            <w:shd w:fill="auto" w:val="clear"/>
          </w:tcPr>
          <w:p w:rsidR="00000000" w:rsidDel="00000000" w:rsidP="00000000" w:rsidRDefault="00000000" w:rsidRPr="00000000" w14:paraId="0000007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-Total renewable energy produced (of which: electricity, thermal,…) </w:t>
            </w:r>
          </w:p>
        </w:tc>
        <w:tc>
          <w:tcPr>
            <w:shd w:fill="auto" w:val="clear"/>
          </w:tcPr>
          <w:p w:rsidR="00000000" w:rsidDel="00000000" w:rsidP="00000000" w:rsidRDefault="00000000" w:rsidRPr="00000000" w14:paraId="0000007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MWh</w:t>
            </w:r>
          </w:p>
        </w:tc>
        <w:tc>
          <w:tcPr>
            <w:shd w:fill="auto" w:val="clear"/>
          </w:tcPr>
          <w:p w:rsidR="00000000" w:rsidDel="00000000" w:rsidP="00000000" w:rsidRDefault="00000000" w:rsidRPr="00000000" w14:paraId="0000007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31</w:t>
            </w:r>
          </w:p>
          <w:p w:rsidR="00000000" w:rsidDel="00000000" w:rsidP="00000000" w:rsidRDefault="00000000" w:rsidRPr="00000000" w14:paraId="0000007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LCDSRS</w:t>
            </w:r>
          </w:p>
        </w:tc>
      </w:tr>
      <w:tr>
        <w:trPr>
          <w:cantSplit w:val="0"/>
          <w:tblHeader w:val="0"/>
        </w:trPr>
        <w:tc>
          <w:tcPr>
            <w:shd w:fill="auto" w:val="clear"/>
          </w:tcPr>
          <w:p w:rsidR="00000000" w:rsidDel="00000000" w:rsidP="00000000" w:rsidRDefault="00000000" w:rsidRPr="00000000" w14:paraId="0000007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2.3 Development of smart energy systems, networks and storage</w:t>
            </w:r>
          </w:p>
        </w:tc>
        <w:tc>
          <w:tcPr>
            <w:shd w:fill="auto" w:val="clear"/>
          </w:tcPr>
          <w:p w:rsidR="00000000" w:rsidDel="00000000" w:rsidP="00000000" w:rsidRDefault="00000000" w:rsidRPr="00000000" w14:paraId="0000007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Users connected to smart energy systems</w:t>
            </w:r>
          </w:p>
        </w:tc>
        <w:tc>
          <w:tcPr>
            <w:shd w:fill="auto" w:val="clear"/>
          </w:tcPr>
          <w:p w:rsidR="00000000" w:rsidDel="00000000" w:rsidP="00000000" w:rsidRDefault="00000000" w:rsidRPr="00000000" w14:paraId="00000078">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users</w:t>
            </w:r>
          </w:p>
        </w:tc>
        <w:tc>
          <w:tcPr>
            <w:shd w:fill="auto" w:val="clear"/>
          </w:tcPr>
          <w:p w:rsidR="00000000" w:rsidDel="00000000" w:rsidP="00000000" w:rsidRDefault="00000000" w:rsidRPr="00000000" w14:paraId="0000007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33</w:t>
            </w:r>
          </w:p>
          <w:p w:rsidR="00000000" w:rsidDel="00000000" w:rsidP="00000000" w:rsidRDefault="00000000" w:rsidRPr="00000000" w14:paraId="0000007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LCDSRS</w:t>
            </w:r>
          </w:p>
        </w:tc>
      </w:tr>
      <w:tr>
        <w:trPr>
          <w:cantSplit w:val="0"/>
          <w:tblHeader w:val="0"/>
        </w:trPr>
        <w:tc>
          <w:tcPr>
            <w:shd w:fill="auto" w:val="clear"/>
          </w:tcPr>
          <w:p w:rsidR="00000000" w:rsidDel="00000000" w:rsidP="00000000" w:rsidRDefault="00000000" w:rsidRPr="00000000" w14:paraId="0000007B">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2.4 Adaptation to climate change and disaster risk prevention, strengthening resilience to climate change, taking into account an ecosystem-based approach</w:t>
            </w:r>
          </w:p>
        </w:tc>
        <w:tc>
          <w:tcPr>
            <w:shd w:fill="auto" w:val="clear"/>
          </w:tcPr>
          <w:p w:rsidR="00000000" w:rsidDel="00000000" w:rsidP="00000000" w:rsidRDefault="00000000" w:rsidRPr="00000000" w14:paraId="0000007C">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Green infrastructure built or upgraded for adaptation to climate change</w:t>
            </w:r>
          </w:p>
          <w:p w:rsidR="00000000" w:rsidDel="00000000" w:rsidP="00000000" w:rsidRDefault="00000000" w:rsidRPr="00000000" w14:paraId="0000007D">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Population benefiting from flood protection measures </w:t>
            </w:r>
          </w:p>
        </w:tc>
        <w:tc>
          <w:tcPr>
            <w:shd w:fill="auto" w:val="clear"/>
          </w:tcPr>
          <w:p w:rsidR="00000000" w:rsidDel="00000000" w:rsidP="00000000" w:rsidRDefault="00000000" w:rsidRPr="00000000" w14:paraId="0000007E">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Hectares/Square metres</w:t>
            </w:r>
          </w:p>
          <w:p w:rsidR="00000000" w:rsidDel="00000000" w:rsidP="00000000" w:rsidRDefault="00000000" w:rsidRPr="00000000" w14:paraId="0000007F">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80">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8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tc>
        <w:tc>
          <w:tcPr>
            <w:shd w:fill="auto" w:val="clear"/>
          </w:tcPr>
          <w:p w:rsidR="00000000" w:rsidDel="00000000" w:rsidP="00000000" w:rsidRDefault="00000000" w:rsidRPr="00000000" w14:paraId="0000008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26</w:t>
            </w:r>
          </w:p>
          <w:p w:rsidR="00000000" w:rsidDel="00000000" w:rsidP="00000000" w:rsidRDefault="00000000" w:rsidRPr="00000000" w14:paraId="0000008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35</w:t>
            </w:r>
          </w:p>
          <w:p w:rsidR="00000000" w:rsidDel="00000000" w:rsidP="00000000" w:rsidRDefault="00000000" w:rsidRPr="00000000" w14:paraId="0000008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PACCC</w:t>
            </w:r>
          </w:p>
          <w:p w:rsidR="00000000" w:rsidDel="00000000" w:rsidP="00000000" w:rsidRDefault="00000000" w:rsidRPr="00000000" w14:paraId="0000008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LCDSRS</w:t>
            </w:r>
          </w:p>
        </w:tc>
      </w:tr>
      <w:tr>
        <w:trPr>
          <w:cantSplit w:val="0"/>
          <w:tblHeader w:val="0"/>
        </w:trPr>
        <w:tc>
          <w:tcPr>
            <w:shd w:fill="auto" w:val="clear"/>
          </w:tcPr>
          <w:p w:rsidR="00000000" w:rsidDel="00000000" w:rsidP="00000000" w:rsidRDefault="00000000" w:rsidRPr="00000000" w14:paraId="0000008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2.5 Ensuring equal access to sanitation, water supply and improvement of sustainable water management</w:t>
            </w:r>
          </w:p>
          <w:p w:rsidR="00000000" w:rsidDel="00000000" w:rsidP="00000000" w:rsidRDefault="00000000" w:rsidRPr="00000000" w14:paraId="00000087">
            <w:pPr>
              <w:spacing w:line="240" w:lineRule="auto"/>
              <w:rPr>
                <w:rFonts w:ascii="Open Sans" w:cs="Open Sans" w:eastAsia="Open Sans" w:hAnsi="Open Sans"/>
                <w:sz w:val="18"/>
                <w:szCs w:val="18"/>
              </w:rPr>
            </w:pPr>
            <w:r w:rsidDel="00000000" w:rsidR="00000000" w:rsidRPr="00000000">
              <w:rPr>
                <w:rtl w:val="0"/>
              </w:rPr>
            </w:r>
          </w:p>
        </w:tc>
        <w:tc>
          <w:tcPr>
            <w:shd w:fill="auto" w:val="clear"/>
          </w:tcPr>
          <w:p w:rsidR="00000000" w:rsidDel="00000000" w:rsidP="00000000" w:rsidRDefault="00000000" w:rsidRPr="00000000" w14:paraId="0000008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Population connected to improved public water supply</w:t>
            </w:r>
          </w:p>
          <w:p w:rsidR="00000000" w:rsidDel="00000000" w:rsidP="00000000" w:rsidRDefault="00000000" w:rsidRPr="00000000" w14:paraId="0000008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Population connected to at least secondary public water treatment </w:t>
            </w:r>
          </w:p>
          <w:p w:rsidR="00000000" w:rsidDel="00000000" w:rsidP="00000000" w:rsidRDefault="00000000" w:rsidRPr="00000000" w14:paraId="0000008A">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Coastal strip, river bank and lakeshore flood protection newly built or consolidated</w:t>
            </w:r>
          </w:p>
        </w:tc>
        <w:tc>
          <w:tcPr>
            <w:shd w:fill="auto" w:val="clear"/>
          </w:tcPr>
          <w:p w:rsidR="00000000" w:rsidDel="00000000" w:rsidP="00000000" w:rsidRDefault="00000000" w:rsidRPr="00000000" w14:paraId="0000008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households</w:t>
            </w:r>
          </w:p>
          <w:p w:rsidR="00000000" w:rsidDel="00000000" w:rsidP="00000000" w:rsidRDefault="00000000" w:rsidRPr="00000000" w14:paraId="0000008C">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8D">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8E">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households</w:t>
            </w:r>
          </w:p>
          <w:p w:rsidR="00000000" w:rsidDel="00000000" w:rsidP="00000000" w:rsidRDefault="00000000" w:rsidRPr="00000000" w14:paraId="0000008F">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0">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km/m</w:t>
            </w:r>
          </w:p>
        </w:tc>
        <w:tc>
          <w:tcPr>
            <w:shd w:fill="auto" w:val="clear"/>
          </w:tcPr>
          <w:p w:rsidR="00000000" w:rsidDel="00000000" w:rsidP="00000000" w:rsidRDefault="00000000" w:rsidRPr="00000000" w14:paraId="0000009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41</w:t>
            </w:r>
          </w:p>
          <w:p w:rsidR="00000000" w:rsidDel="00000000" w:rsidP="00000000" w:rsidRDefault="00000000" w:rsidRPr="00000000" w14:paraId="0000009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35</w:t>
            </w:r>
          </w:p>
          <w:p w:rsidR="00000000" w:rsidDel="00000000" w:rsidP="00000000" w:rsidRDefault="00000000" w:rsidRPr="00000000" w14:paraId="0000009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42</w:t>
            </w:r>
          </w:p>
          <w:p w:rsidR="00000000" w:rsidDel="00000000" w:rsidP="00000000" w:rsidRDefault="00000000" w:rsidRPr="00000000" w14:paraId="0000009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25</w:t>
            </w:r>
          </w:p>
          <w:p w:rsidR="00000000" w:rsidDel="00000000" w:rsidP="00000000" w:rsidRDefault="00000000" w:rsidRPr="00000000" w14:paraId="0000009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SPRS</w:t>
            </w:r>
          </w:p>
        </w:tc>
      </w:tr>
      <w:tr>
        <w:trPr>
          <w:cantSplit w:val="0"/>
          <w:tblHeader w:val="0"/>
        </w:trPr>
        <w:tc>
          <w:tcPr>
            <w:shd w:fill="auto" w:val="clear"/>
          </w:tcPr>
          <w:p w:rsidR="00000000" w:rsidDel="00000000" w:rsidP="00000000" w:rsidRDefault="00000000" w:rsidRPr="00000000" w14:paraId="0000009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2.6 Improvement of waste management</w:t>
            </w:r>
          </w:p>
        </w:tc>
        <w:tc>
          <w:tcPr>
            <w:shd w:fill="auto" w:val="clear"/>
          </w:tcPr>
          <w:p w:rsidR="00000000" w:rsidDel="00000000" w:rsidP="00000000" w:rsidRDefault="00000000" w:rsidRPr="00000000" w14:paraId="0000009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Waste collected separately </w:t>
            </w:r>
          </w:p>
          <w:p w:rsidR="00000000" w:rsidDel="00000000" w:rsidP="00000000" w:rsidRDefault="00000000" w:rsidRPr="00000000" w14:paraId="0000009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Waste recycled </w:t>
            </w:r>
          </w:p>
        </w:tc>
        <w:tc>
          <w:tcPr>
            <w:shd w:fill="auto" w:val="clear"/>
          </w:tcPr>
          <w:p w:rsidR="00000000" w:rsidDel="00000000" w:rsidP="00000000" w:rsidRDefault="00000000" w:rsidRPr="00000000" w14:paraId="0000009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Tonnes</w:t>
            </w:r>
          </w:p>
          <w:p w:rsidR="00000000" w:rsidDel="00000000" w:rsidP="00000000" w:rsidRDefault="00000000" w:rsidRPr="00000000" w14:paraId="0000009B">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C">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Tonnes</w:t>
            </w:r>
          </w:p>
        </w:tc>
        <w:tc>
          <w:tcPr>
            <w:shd w:fill="auto" w:val="clear"/>
          </w:tcPr>
          <w:p w:rsidR="00000000" w:rsidDel="00000000" w:rsidP="00000000" w:rsidRDefault="00000000" w:rsidRPr="00000000" w14:paraId="0000009D">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103</w:t>
            </w:r>
          </w:p>
          <w:p w:rsidR="00000000" w:rsidDel="00000000" w:rsidP="00000000" w:rsidRDefault="00000000" w:rsidRPr="00000000" w14:paraId="0000009E">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47</w:t>
            </w:r>
          </w:p>
          <w:p w:rsidR="00000000" w:rsidDel="00000000" w:rsidP="00000000" w:rsidRDefault="00000000" w:rsidRPr="00000000" w14:paraId="0000009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LCDSRS</w:t>
            </w:r>
          </w:p>
        </w:tc>
      </w:tr>
      <w:tr>
        <w:trPr>
          <w:cantSplit w:val="0"/>
          <w:tblHeader w:val="0"/>
        </w:trPr>
        <w:tc>
          <w:tcPr>
            <w:shd w:fill="auto" w:val="clear"/>
          </w:tcPr>
          <w:p w:rsidR="00000000" w:rsidDel="00000000" w:rsidP="00000000" w:rsidRDefault="00000000" w:rsidRPr="00000000" w14:paraId="000000A0">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2.7. Strengthening the protection and preservation of nature, biodiversity and green infrastructure, and reducing all forms of pollution</w:t>
            </w:r>
          </w:p>
        </w:tc>
        <w:tc>
          <w:tcPr>
            <w:shd w:fill="auto" w:val="clear"/>
          </w:tcPr>
          <w:p w:rsidR="00000000" w:rsidDel="00000000" w:rsidP="00000000" w:rsidRDefault="00000000" w:rsidRPr="00000000" w14:paraId="000000A1">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Green infrastructure supported with the purpose to protect biodiversity and preserve natural habitats. </w:t>
            </w:r>
          </w:p>
          <w:p w:rsidR="00000000" w:rsidDel="00000000" w:rsidP="00000000" w:rsidRDefault="00000000" w:rsidRPr="00000000" w14:paraId="000000A2">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Surface of Natura 2000 sites covered by protection and restoration measures</w:t>
            </w:r>
          </w:p>
          <w:p w:rsidR="00000000" w:rsidDel="00000000" w:rsidP="00000000" w:rsidRDefault="00000000" w:rsidRPr="00000000" w14:paraId="000000A3">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Surface area of rehabilitated land supported</w:t>
            </w:r>
          </w:p>
          <w:p w:rsidR="00000000" w:rsidDel="00000000" w:rsidP="00000000" w:rsidRDefault="00000000" w:rsidRPr="00000000" w14:paraId="000000A4">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Area covered by systems for monitoring air pollution</w:t>
            </w:r>
          </w:p>
          <w:p w:rsidR="00000000" w:rsidDel="00000000" w:rsidP="00000000" w:rsidRDefault="00000000" w:rsidRPr="00000000" w14:paraId="000000A5">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Population benefiting from measures to improve air quality</w:t>
            </w:r>
          </w:p>
          <w:p w:rsidR="00000000" w:rsidDel="00000000" w:rsidP="00000000" w:rsidRDefault="00000000" w:rsidRPr="00000000" w14:paraId="000000A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Population having access to new or improved green infrastructure</w:t>
            </w:r>
          </w:p>
        </w:tc>
        <w:tc>
          <w:tcPr>
            <w:shd w:fill="auto" w:val="clear"/>
          </w:tcPr>
          <w:p w:rsidR="00000000" w:rsidDel="00000000" w:rsidP="00000000" w:rsidRDefault="00000000" w:rsidRPr="00000000" w14:paraId="000000A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Square meters (or hectares)</w:t>
            </w:r>
          </w:p>
          <w:p w:rsidR="00000000" w:rsidDel="00000000" w:rsidP="00000000" w:rsidRDefault="00000000" w:rsidRPr="00000000" w14:paraId="000000A8">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A9">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AA">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Square meters (or hectares)</w:t>
            </w:r>
          </w:p>
          <w:p w:rsidR="00000000" w:rsidDel="00000000" w:rsidP="00000000" w:rsidRDefault="00000000" w:rsidRPr="00000000" w14:paraId="000000AB">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Square meters (or hectares)</w:t>
            </w:r>
          </w:p>
          <w:p w:rsidR="00000000" w:rsidDel="00000000" w:rsidP="00000000" w:rsidRDefault="00000000" w:rsidRPr="00000000" w14:paraId="000000AC">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Square meters (or hectares)</w:t>
            </w:r>
          </w:p>
          <w:p w:rsidR="00000000" w:rsidDel="00000000" w:rsidP="00000000" w:rsidRDefault="00000000" w:rsidRPr="00000000" w14:paraId="000000A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p w:rsidR="00000000" w:rsidDel="00000000" w:rsidP="00000000" w:rsidRDefault="00000000" w:rsidRPr="00000000" w14:paraId="000000AE">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AF">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B0">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tc>
        <w:tc>
          <w:tcPr>
            <w:shd w:fill="auto" w:val="clear"/>
          </w:tcPr>
          <w:p w:rsidR="00000000" w:rsidDel="00000000" w:rsidP="00000000" w:rsidRDefault="00000000" w:rsidRPr="00000000" w14:paraId="000000B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36</w:t>
            </w:r>
          </w:p>
          <w:p w:rsidR="00000000" w:rsidDel="00000000" w:rsidP="00000000" w:rsidRDefault="00000000" w:rsidRPr="00000000" w14:paraId="000000B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37</w:t>
            </w:r>
          </w:p>
          <w:p w:rsidR="00000000" w:rsidDel="00000000" w:rsidP="00000000" w:rsidRDefault="00000000" w:rsidRPr="00000000" w14:paraId="000000B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38</w:t>
            </w:r>
          </w:p>
          <w:p w:rsidR="00000000" w:rsidDel="00000000" w:rsidP="00000000" w:rsidRDefault="00000000" w:rsidRPr="00000000" w14:paraId="000000B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39</w:t>
            </w:r>
          </w:p>
          <w:p w:rsidR="00000000" w:rsidDel="00000000" w:rsidP="00000000" w:rsidRDefault="00000000" w:rsidRPr="00000000" w14:paraId="000000B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50</w:t>
            </w:r>
          </w:p>
          <w:p w:rsidR="00000000" w:rsidDel="00000000" w:rsidP="00000000" w:rsidRDefault="00000000" w:rsidRPr="00000000" w14:paraId="000000B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95</w:t>
            </w:r>
          </w:p>
          <w:p w:rsidR="00000000" w:rsidDel="00000000" w:rsidP="00000000" w:rsidRDefault="00000000" w:rsidRPr="00000000" w14:paraId="000000B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PACCC</w:t>
            </w:r>
          </w:p>
          <w:p w:rsidR="00000000" w:rsidDel="00000000" w:rsidP="00000000" w:rsidRDefault="00000000" w:rsidRPr="00000000" w14:paraId="000000B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SPRS</w:t>
            </w:r>
          </w:p>
          <w:p w:rsidR="00000000" w:rsidDel="00000000" w:rsidP="00000000" w:rsidRDefault="00000000" w:rsidRPr="00000000" w14:paraId="000000B9">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BA">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BB">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BC">
            <w:pPr>
              <w:widowControl w:val="0"/>
              <w:spacing w:line="240" w:lineRule="auto"/>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2.8 Encouraging sustainable multimodal urban mobility</w:t>
            </w:r>
          </w:p>
          <w:p w:rsidR="00000000" w:rsidDel="00000000" w:rsidP="00000000" w:rsidRDefault="00000000" w:rsidRPr="00000000" w14:paraId="000000BE">
            <w:pPr>
              <w:spacing w:line="240" w:lineRule="auto"/>
              <w:rPr>
                <w:rFonts w:ascii="Open Sans" w:cs="Open Sans" w:eastAsia="Open Sans" w:hAnsi="Open Sans"/>
                <w:sz w:val="18"/>
                <w:szCs w:val="18"/>
              </w:rPr>
            </w:pPr>
            <w:r w:rsidDel="00000000" w:rsidR="00000000" w:rsidRPr="00000000">
              <w:rPr>
                <w:rtl w:val="0"/>
              </w:rPr>
            </w:r>
          </w:p>
        </w:tc>
        <w:tc>
          <w:tcPr>
            <w:shd w:fill="auto" w:val="clear"/>
          </w:tcPr>
          <w:p w:rsidR="00000000" w:rsidDel="00000000" w:rsidP="00000000" w:rsidRDefault="00000000" w:rsidRPr="00000000" w14:paraId="000000B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or modernised public transport</w:t>
            </w:r>
          </w:p>
          <w:p w:rsidR="00000000" w:rsidDel="00000000" w:rsidP="00000000" w:rsidRDefault="00000000" w:rsidRPr="00000000" w14:paraId="000000C0">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or modernised tram lines</w:t>
            </w:r>
          </w:p>
          <w:p w:rsidR="00000000" w:rsidDel="00000000" w:rsidP="00000000" w:rsidRDefault="00000000" w:rsidRPr="00000000" w14:paraId="000000C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dedicated cycling infrastructure </w:t>
            </w:r>
          </w:p>
        </w:tc>
        <w:tc>
          <w:tcPr>
            <w:shd w:fill="auto" w:val="clear"/>
          </w:tcPr>
          <w:p w:rsidR="00000000" w:rsidDel="00000000" w:rsidP="00000000" w:rsidRDefault="00000000" w:rsidRPr="00000000" w14:paraId="000000C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increase of users</w:t>
            </w:r>
          </w:p>
        </w:tc>
        <w:tc>
          <w:tcPr>
            <w:shd w:fill="auto" w:val="clear"/>
          </w:tcPr>
          <w:p w:rsidR="00000000" w:rsidDel="00000000" w:rsidP="00000000" w:rsidRDefault="00000000" w:rsidRPr="00000000" w14:paraId="000000C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62</w:t>
            </w:r>
          </w:p>
          <w:p w:rsidR="00000000" w:rsidDel="00000000" w:rsidP="00000000" w:rsidRDefault="00000000" w:rsidRPr="00000000" w14:paraId="000000C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63</w:t>
            </w:r>
          </w:p>
          <w:p w:rsidR="00000000" w:rsidDel="00000000" w:rsidP="00000000" w:rsidRDefault="00000000" w:rsidRPr="00000000" w14:paraId="000000C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64</w:t>
            </w:r>
          </w:p>
          <w:p w:rsidR="00000000" w:rsidDel="00000000" w:rsidP="00000000" w:rsidRDefault="00000000" w:rsidRPr="00000000" w14:paraId="000000C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SPRS</w:t>
            </w:r>
          </w:p>
        </w:tc>
      </w:tr>
      <w:tr>
        <w:trPr>
          <w:cantSplit w:val="0"/>
          <w:tblHeader w:val="0"/>
        </w:trPr>
        <w:tc>
          <w:tcPr>
            <w:shd w:fill="auto" w:val="clear"/>
          </w:tcPr>
          <w:p w:rsidR="00000000" w:rsidDel="00000000" w:rsidP="00000000" w:rsidRDefault="00000000" w:rsidRPr="00000000" w14:paraId="000000C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2.9 Development of a smart, safe, sustainable and intermodal network of international and national importance as part of transition to net zero carbon economy</w:t>
            </w:r>
          </w:p>
        </w:tc>
        <w:tc>
          <w:tcPr>
            <w:vMerge w:val="restart"/>
            <w:shd w:fill="auto" w:val="clear"/>
          </w:tcPr>
          <w:p w:rsidR="00000000" w:rsidDel="00000000" w:rsidP="00000000" w:rsidRDefault="00000000" w:rsidRPr="00000000" w14:paraId="000000C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newly built, reconstructed, upgraded or modernised roads</w:t>
            </w:r>
          </w:p>
          <w:p w:rsidR="00000000" w:rsidDel="00000000" w:rsidP="00000000" w:rsidRDefault="00000000" w:rsidRPr="00000000" w14:paraId="000000C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newly built, upgraded, reconstructed or modernised railways</w:t>
            </w:r>
          </w:p>
          <w:p w:rsidR="00000000" w:rsidDel="00000000" w:rsidP="00000000" w:rsidRDefault="00000000" w:rsidRPr="00000000" w14:paraId="000000C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Freight transport on rail </w:t>
            </w:r>
          </w:p>
          <w:p w:rsidR="00000000" w:rsidDel="00000000" w:rsidP="00000000" w:rsidRDefault="00000000" w:rsidRPr="00000000" w14:paraId="000000C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Freight transport on inland waterways</w:t>
            </w:r>
          </w:p>
        </w:tc>
        <w:tc>
          <w:tcPr>
            <w:vMerge w:val="restart"/>
            <w:shd w:fill="auto" w:val="clear"/>
          </w:tcPr>
          <w:p w:rsidR="00000000" w:rsidDel="00000000" w:rsidP="00000000" w:rsidRDefault="00000000" w:rsidRPr="00000000" w14:paraId="000000CC">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increase of users</w:t>
            </w:r>
          </w:p>
          <w:p w:rsidR="00000000" w:rsidDel="00000000" w:rsidP="00000000" w:rsidRDefault="00000000" w:rsidRPr="00000000" w14:paraId="000000CD">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CE">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C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increase of users</w:t>
            </w:r>
          </w:p>
          <w:p w:rsidR="00000000" w:rsidDel="00000000" w:rsidP="00000000" w:rsidRDefault="00000000" w:rsidRPr="00000000" w14:paraId="000000D0">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D1">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D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Tonnes</w:t>
            </w:r>
          </w:p>
          <w:p w:rsidR="00000000" w:rsidDel="00000000" w:rsidP="00000000" w:rsidRDefault="00000000" w:rsidRPr="00000000" w14:paraId="000000D3">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D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Tonnes</w:t>
            </w:r>
          </w:p>
        </w:tc>
        <w:tc>
          <w:tcPr>
            <w:vMerge w:val="restart"/>
            <w:shd w:fill="auto" w:val="clear"/>
          </w:tcPr>
          <w:p w:rsidR="00000000" w:rsidDel="00000000" w:rsidP="00000000" w:rsidRDefault="00000000" w:rsidRPr="00000000" w14:paraId="000000D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55</w:t>
            </w:r>
          </w:p>
          <w:p w:rsidR="00000000" w:rsidDel="00000000" w:rsidP="00000000" w:rsidRDefault="00000000" w:rsidRPr="00000000" w14:paraId="000000D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58</w:t>
            </w:r>
          </w:p>
          <w:p w:rsidR="00000000" w:rsidDel="00000000" w:rsidP="00000000" w:rsidRDefault="00000000" w:rsidRPr="00000000" w14:paraId="000000D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59</w:t>
            </w:r>
          </w:p>
          <w:p w:rsidR="00000000" w:rsidDel="00000000" w:rsidP="00000000" w:rsidRDefault="00000000" w:rsidRPr="00000000" w14:paraId="000000D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60</w:t>
            </w:r>
          </w:p>
          <w:p w:rsidR="00000000" w:rsidDel="00000000" w:rsidP="00000000" w:rsidRDefault="00000000" w:rsidRPr="00000000" w14:paraId="000000D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LCDSRS</w:t>
            </w:r>
          </w:p>
          <w:p w:rsidR="00000000" w:rsidDel="00000000" w:rsidP="00000000" w:rsidRDefault="00000000" w:rsidRPr="00000000" w14:paraId="000000D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SPRS</w:t>
            </w:r>
          </w:p>
        </w:tc>
      </w:tr>
      <w:tr>
        <w:trPr>
          <w:cantSplit w:val="0"/>
          <w:tblHeader w:val="0"/>
        </w:trPr>
        <w:tc>
          <w:tcPr>
            <w:shd w:fill="auto" w:val="clear"/>
          </w:tcPr>
          <w:p w:rsidR="00000000" w:rsidDel="00000000" w:rsidP="00000000" w:rsidRDefault="00000000" w:rsidRPr="00000000" w14:paraId="000000DB">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2.10 Development and strengthening of sustainable, smart and intermodal national, regional and local mobility tas part of transition to net zero carbon economy, including better access to the transport network of international and national importance and cross-border mobility</w:t>
            </w:r>
          </w:p>
        </w:tc>
        <w:tc>
          <w:tcPr>
            <w:vMerge w:val="continue"/>
            <w:shd w:fill="auto" w:val="clea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18"/>
                <w:szCs w:val="18"/>
              </w:rPr>
            </w:pPr>
            <w:r w:rsidDel="00000000" w:rsidR="00000000" w:rsidRPr="00000000">
              <w:rPr>
                <w:rtl w:val="0"/>
              </w:rPr>
            </w:r>
          </w:p>
        </w:tc>
        <w:tc>
          <w:tcPr>
            <w:vMerge w:val="continue"/>
            <w:shd w:fill="auto" w:val="clea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18"/>
                <w:szCs w:val="18"/>
              </w:rPr>
            </w:pPr>
            <w:r w:rsidDel="00000000" w:rsidR="00000000" w:rsidRPr="00000000">
              <w:rPr>
                <w:rtl w:val="0"/>
              </w:rPr>
            </w:r>
          </w:p>
        </w:tc>
        <w:tc>
          <w:tcPr>
            <w:vMerge w:val="continue"/>
            <w:shd w:fill="auto" w:val="clea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18"/>
                <w:szCs w:val="18"/>
              </w:rPr>
            </w:pP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0DF">
            <w:pPr>
              <w:spacing w:after="0"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area 3 </w:t>
            </w:r>
          </w:p>
          <w:p w:rsidR="00000000" w:rsidDel="00000000" w:rsidP="00000000" w:rsidRDefault="00000000" w:rsidRPr="00000000" w14:paraId="000000E0">
            <w:pPr>
              <w:spacing w:after="0"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Innovative and smart economy.</w:t>
            </w:r>
          </w:p>
        </w:tc>
      </w:tr>
      <w:tr>
        <w:trPr>
          <w:cantSplit w:val="0"/>
          <w:tblHeader w:val="0"/>
        </w:trPr>
        <w:tc>
          <w:tcPr>
            <w:gridSpan w:val="4"/>
            <w:shd w:fill="auto" w:val="clear"/>
          </w:tcPr>
          <w:p w:rsidR="00000000" w:rsidDel="00000000" w:rsidP="00000000" w:rsidRDefault="00000000" w:rsidRPr="00000000" w14:paraId="000000E4">
            <w:pPr>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objective: Promoting innovative and smart economy transformation, circular and low carbon economy and ICT integrations</w:t>
            </w:r>
          </w:p>
          <w:p w:rsidR="00000000" w:rsidDel="00000000" w:rsidP="00000000" w:rsidRDefault="00000000" w:rsidRPr="00000000" w14:paraId="000000E5">
            <w:pPr>
              <w:spacing w:line="240" w:lineRule="auto"/>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9">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3.1 Development and strengthening of research and innovation capacities and application of advanced technologies</w:t>
            </w:r>
          </w:p>
        </w:tc>
        <w:tc>
          <w:tcPr>
            <w:shd w:fill="auto" w:val="clear"/>
          </w:tcPr>
          <w:p w:rsidR="00000000" w:rsidDel="00000000" w:rsidP="00000000" w:rsidRDefault="00000000" w:rsidRPr="00000000" w14:paraId="000000EA">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Enterprises supported (of which: micro, small, medium, large)</w:t>
            </w:r>
          </w:p>
          <w:p w:rsidR="00000000" w:rsidDel="00000000" w:rsidP="00000000" w:rsidRDefault="00000000" w:rsidRPr="00000000" w14:paraId="000000EB">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Jobs created in supported entities</w:t>
            </w:r>
          </w:p>
          <w:p w:rsidR="00000000" w:rsidDel="00000000" w:rsidP="00000000" w:rsidRDefault="00000000" w:rsidRPr="00000000" w14:paraId="000000EC">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Research jobs created in supported entities</w:t>
            </w:r>
          </w:p>
        </w:tc>
        <w:tc>
          <w:tcPr>
            <w:shd w:fill="auto" w:val="clear"/>
          </w:tcPr>
          <w:p w:rsidR="00000000" w:rsidDel="00000000" w:rsidP="00000000" w:rsidRDefault="00000000" w:rsidRPr="00000000" w14:paraId="000000ED">
            <w:pPr>
              <w:spacing w:after="240" w:before="240"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enterprises</w:t>
            </w:r>
          </w:p>
          <w:p w:rsidR="00000000" w:rsidDel="00000000" w:rsidP="00000000" w:rsidRDefault="00000000" w:rsidRPr="00000000" w14:paraId="000000EE">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tc>
        <w:tc>
          <w:tcPr>
            <w:shd w:fill="auto" w:val="clear"/>
          </w:tcPr>
          <w:p w:rsidR="00000000" w:rsidDel="00000000" w:rsidP="00000000" w:rsidRDefault="00000000" w:rsidRPr="00000000" w14:paraId="000000E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01</w:t>
            </w:r>
          </w:p>
          <w:p w:rsidR="00000000" w:rsidDel="00000000" w:rsidP="00000000" w:rsidRDefault="00000000" w:rsidRPr="00000000" w14:paraId="000000F0">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(3)01</w:t>
            </w:r>
          </w:p>
          <w:p w:rsidR="00000000" w:rsidDel="00000000" w:rsidP="00000000" w:rsidRDefault="00000000" w:rsidRPr="00000000" w14:paraId="000000F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102</w:t>
            </w:r>
          </w:p>
          <w:p w:rsidR="00000000" w:rsidDel="00000000" w:rsidP="00000000" w:rsidRDefault="00000000" w:rsidRPr="00000000" w14:paraId="000000F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SSTDRS</w:t>
            </w:r>
          </w:p>
          <w:p w:rsidR="00000000" w:rsidDel="00000000" w:rsidP="00000000" w:rsidRDefault="00000000" w:rsidRPr="00000000" w14:paraId="000000F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SDAIRS</w:t>
            </w:r>
          </w:p>
          <w:p w:rsidR="00000000" w:rsidDel="00000000" w:rsidP="00000000" w:rsidRDefault="00000000" w:rsidRPr="00000000" w14:paraId="000000F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IPSRS</w:t>
            </w:r>
          </w:p>
          <w:p w:rsidR="00000000" w:rsidDel="00000000" w:rsidP="00000000" w:rsidRDefault="00000000" w:rsidRPr="00000000" w14:paraId="000000F5">
            <w:pPr>
              <w:widowControl w:val="0"/>
              <w:spacing w:line="240" w:lineRule="auto"/>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3.2 Using the advantages of digitization for citizens, companies, research institutions and public administration bodies</w:t>
            </w:r>
          </w:p>
        </w:tc>
        <w:tc>
          <w:tcPr>
            <w:shd w:fill="auto" w:val="clear"/>
          </w:tcPr>
          <w:p w:rsidR="00000000" w:rsidDel="00000000" w:rsidP="00000000" w:rsidRDefault="00000000" w:rsidRPr="00000000" w14:paraId="000000F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Users of new and upgraded public digital services, products and processes</w:t>
            </w:r>
          </w:p>
          <w:p w:rsidR="00000000" w:rsidDel="00000000" w:rsidP="00000000" w:rsidRDefault="00000000" w:rsidRPr="00000000" w14:paraId="000000F8">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Users of new and upgraded digital services, products and processes developed by enterprises </w:t>
            </w:r>
          </w:p>
          <w:p w:rsidR="00000000" w:rsidDel="00000000" w:rsidP="00000000" w:rsidRDefault="00000000" w:rsidRPr="00000000" w14:paraId="000000F9">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Enterprises reached high digital intensity</w:t>
            </w:r>
          </w:p>
        </w:tc>
        <w:tc>
          <w:tcPr>
            <w:shd w:fill="auto" w:val="clear"/>
          </w:tcPr>
          <w:p w:rsidR="00000000" w:rsidDel="00000000" w:rsidP="00000000" w:rsidRDefault="00000000" w:rsidRPr="00000000" w14:paraId="000000FA">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users</w:t>
            </w:r>
          </w:p>
          <w:p w:rsidR="00000000" w:rsidDel="00000000" w:rsidP="00000000" w:rsidRDefault="00000000" w:rsidRPr="00000000" w14:paraId="000000FB">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FC">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F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users</w:t>
            </w:r>
          </w:p>
          <w:p w:rsidR="00000000" w:rsidDel="00000000" w:rsidP="00000000" w:rsidRDefault="00000000" w:rsidRPr="00000000" w14:paraId="000000FE">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FF">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00">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01">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enterprises</w:t>
            </w:r>
          </w:p>
        </w:tc>
        <w:tc>
          <w:tcPr>
            <w:shd w:fill="auto" w:val="clear"/>
          </w:tcPr>
          <w:p w:rsidR="00000000" w:rsidDel="00000000" w:rsidP="00000000" w:rsidRDefault="00000000" w:rsidRPr="00000000" w14:paraId="0000010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11</w:t>
            </w:r>
          </w:p>
          <w:p w:rsidR="00000000" w:rsidDel="00000000" w:rsidP="00000000" w:rsidRDefault="00000000" w:rsidRPr="00000000" w14:paraId="0000010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12</w:t>
            </w:r>
          </w:p>
          <w:p w:rsidR="00000000" w:rsidDel="00000000" w:rsidP="00000000" w:rsidRDefault="00000000" w:rsidRPr="00000000" w14:paraId="0000010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13</w:t>
            </w:r>
          </w:p>
          <w:p w:rsidR="00000000" w:rsidDel="00000000" w:rsidP="00000000" w:rsidRDefault="00000000" w:rsidRPr="00000000" w14:paraId="0000010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SDISISRS</w:t>
            </w:r>
          </w:p>
          <w:p w:rsidR="00000000" w:rsidDel="00000000" w:rsidP="00000000" w:rsidRDefault="00000000" w:rsidRPr="00000000" w14:paraId="0000010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SSTDRS</w:t>
            </w:r>
          </w:p>
          <w:p w:rsidR="00000000" w:rsidDel="00000000" w:rsidP="00000000" w:rsidRDefault="00000000" w:rsidRPr="00000000" w14:paraId="0000010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SDAIRS</w:t>
            </w:r>
          </w:p>
          <w:p w:rsidR="00000000" w:rsidDel="00000000" w:rsidP="00000000" w:rsidRDefault="00000000" w:rsidRPr="00000000" w14:paraId="00000108">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09">
            <w:pPr>
              <w:widowControl w:val="0"/>
              <w:spacing w:line="240" w:lineRule="auto"/>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A">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3.3 Strengthening the sustainable growth and competitiveness of SMEs and creating jobs</w:t>
            </w:r>
          </w:p>
        </w:tc>
        <w:tc>
          <w:tcPr>
            <w:shd w:fill="auto" w:val="clear"/>
          </w:tcPr>
          <w:p w:rsidR="00000000" w:rsidDel="00000000" w:rsidP="00000000" w:rsidRDefault="00000000" w:rsidRPr="00000000" w14:paraId="0000010B">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New enterprises surviving in the market </w:t>
            </w:r>
          </w:p>
          <w:p w:rsidR="00000000" w:rsidDel="00000000" w:rsidP="00000000" w:rsidRDefault="00000000" w:rsidRPr="00000000" w14:paraId="0000010C">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SMEs using incubator services after incubator creation</w:t>
            </w:r>
          </w:p>
          <w:p w:rsidR="00000000" w:rsidDel="00000000" w:rsidP="00000000" w:rsidRDefault="00000000" w:rsidRPr="00000000" w14:paraId="0000010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Enterprises turnover</w:t>
            </w:r>
          </w:p>
          <w:p w:rsidR="00000000" w:rsidDel="00000000" w:rsidP="00000000" w:rsidRDefault="00000000" w:rsidRPr="00000000" w14:paraId="0000010E">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SMEs benefiting from the value added per employee</w:t>
            </w:r>
          </w:p>
        </w:tc>
        <w:tc>
          <w:tcPr>
            <w:shd w:fill="auto" w:val="clear"/>
          </w:tcPr>
          <w:p w:rsidR="00000000" w:rsidDel="00000000" w:rsidP="00000000" w:rsidRDefault="00000000" w:rsidRPr="00000000" w14:paraId="0000010F">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enterprises survived 2 years after establishment</w:t>
            </w:r>
          </w:p>
          <w:p w:rsidR="00000000" w:rsidDel="00000000" w:rsidP="00000000" w:rsidRDefault="00000000" w:rsidRPr="00000000" w14:paraId="00000110">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11">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enterprises</w:t>
            </w:r>
          </w:p>
          <w:p w:rsidR="00000000" w:rsidDel="00000000" w:rsidP="00000000" w:rsidRDefault="00000000" w:rsidRPr="00000000" w14:paraId="00000112">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13">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enterprises</w:t>
            </w:r>
          </w:p>
          <w:p w:rsidR="00000000" w:rsidDel="00000000" w:rsidP="00000000" w:rsidRDefault="00000000" w:rsidRPr="00000000" w14:paraId="00000114">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15">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enterprises</w:t>
            </w:r>
          </w:p>
        </w:tc>
        <w:tc>
          <w:tcPr>
            <w:shd w:fill="auto" w:val="clear"/>
          </w:tcPr>
          <w:p w:rsidR="00000000" w:rsidDel="00000000" w:rsidP="00000000" w:rsidRDefault="00000000" w:rsidRPr="00000000" w14:paraId="0000011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17</w:t>
            </w:r>
          </w:p>
          <w:p w:rsidR="00000000" w:rsidDel="00000000" w:rsidP="00000000" w:rsidRDefault="00000000" w:rsidRPr="00000000" w14:paraId="0000011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18</w:t>
            </w:r>
          </w:p>
          <w:p w:rsidR="00000000" w:rsidDel="00000000" w:rsidP="00000000" w:rsidRDefault="00000000" w:rsidRPr="00000000" w14:paraId="0000011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19</w:t>
            </w:r>
          </w:p>
          <w:p w:rsidR="00000000" w:rsidDel="00000000" w:rsidP="00000000" w:rsidRDefault="00000000" w:rsidRPr="00000000" w14:paraId="0000011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25</w:t>
            </w:r>
          </w:p>
          <w:p w:rsidR="00000000" w:rsidDel="00000000" w:rsidP="00000000" w:rsidRDefault="00000000" w:rsidRPr="00000000" w14:paraId="0000011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SSDSMEEC</w:t>
            </w:r>
          </w:p>
          <w:p w:rsidR="00000000" w:rsidDel="00000000" w:rsidP="00000000" w:rsidRDefault="00000000" w:rsidRPr="00000000" w14:paraId="0000011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IPSRS</w:t>
            </w:r>
          </w:p>
          <w:p w:rsidR="00000000" w:rsidDel="00000000" w:rsidP="00000000" w:rsidRDefault="00000000" w:rsidRPr="00000000" w14:paraId="0000011C">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1D">
            <w:pPr>
              <w:widowControl w:val="0"/>
              <w:spacing w:line="240" w:lineRule="auto"/>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E">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3.4. Development of competences for smart 4S specialisation, industrial transition and entrepreneurship, within the quadruple and quintuple helix of innovation (economy, academia, public and civil sector - institutional participants)</w:t>
            </w:r>
          </w:p>
        </w:tc>
        <w:tc>
          <w:tcPr>
            <w:shd w:fill="auto" w:val="clear"/>
          </w:tcPr>
          <w:p w:rsidR="00000000" w:rsidDel="00000000" w:rsidP="00000000" w:rsidRDefault="00000000" w:rsidRPr="00000000" w14:paraId="0000011F">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Apprenticeships supported in SMEs</w:t>
            </w:r>
          </w:p>
          <w:p w:rsidR="00000000" w:rsidDel="00000000" w:rsidP="00000000" w:rsidRDefault="00000000" w:rsidRPr="00000000" w14:paraId="00000120">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SMEs staff completing training for skills for smart specialisation, for industrial transition and entrepreneurship (by type of skill: technical, management, entrepreneurship, green, other)</w:t>
            </w:r>
          </w:p>
        </w:tc>
        <w:tc>
          <w:tcPr>
            <w:shd w:fill="auto" w:val="clear"/>
          </w:tcPr>
          <w:p w:rsidR="00000000" w:rsidDel="00000000" w:rsidP="00000000" w:rsidRDefault="00000000" w:rsidRPr="00000000" w14:paraId="00000121">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tc>
        <w:tc>
          <w:tcPr>
            <w:shd w:fill="auto" w:val="clear"/>
          </w:tcPr>
          <w:p w:rsidR="00000000" w:rsidDel="00000000" w:rsidP="00000000" w:rsidRDefault="00000000" w:rsidRPr="00000000" w14:paraId="0000012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97</w:t>
            </w:r>
          </w:p>
          <w:p w:rsidR="00000000" w:rsidDel="00000000" w:rsidP="00000000" w:rsidRDefault="00000000" w:rsidRPr="00000000" w14:paraId="0000012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98</w:t>
            </w:r>
          </w:p>
          <w:p w:rsidR="00000000" w:rsidDel="00000000" w:rsidP="00000000" w:rsidRDefault="00000000" w:rsidRPr="00000000" w14:paraId="0000012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SSSRS</w:t>
            </w:r>
          </w:p>
          <w:p w:rsidR="00000000" w:rsidDel="00000000" w:rsidP="00000000" w:rsidRDefault="00000000" w:rsidRPr="00000000" w14:paraId="0000012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p w:rsidR="00000000" w:rsidDel="00000000" w:rsidP="00000000" w:rsidRDefault="00000000" w:rsidRPr="00000000" w14:paraId="0000012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SSTDRS</w:t>
            </w:r>
          </w:p>
          <w:p w:rsidR="00000000" w:rsidDel="00000000" w:rsidP="00000000" w:rsidRDefault="00000000" w:rsidRPr="00000000" w14:paraId="0000012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SDAIRS</w:t>
            </w:r>
          </w:p>
          <w:p w:rsidR="00000000" w:rsidDel="00000000" w:rsidP="00000000" w:rsidRDefault="00000000" w:rsidRPr="00000000" w14:paraId="0000012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IPSRS</w:t>
            </w:r>
          </w:p>
        </w:tc>
      </w:tr>
      <w:tr>
        <w:trPr>
          <w:cantSplit w:val="0"/>
          <w:tblHeader w:val="0"/>
        </w:trPr>
        <w:tc>
          <w:tcPr>
            <w:shd w:fill="auto" w:val="clear"/>
          </w:tcPr>
          <w:p w:rsidR="00000000" w:rsidDel="00000000" w:rsidP="00000000" w:rsidRDefault="00000000" w:rsidRPr="00000000" w14:paraId="00000129">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3.5 Strengthening digital connectivity</w:t>
            </w:r>
          </w:p>
        </w:tc>
        <w:tc>
          <w:tcPr>
            <w:shd w:fill="auto" w:val="clear"/>
          </w:tcPr>
          <w:p w:rsidR="00000000" w:rsidDel="00000000" w:rsidP="00000000" w:rsidRDefault="00000000" w:rsidRPr="00000000" w14:paraId="0000012A">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Dwellings with broadband subscriptions to a very high-capacity network </w:t>
            </w:r>
          </w:p>
          <w:p w:rsidR="00000000" w:rsidDel="00000000" w:rsidP="00000000" w:rsidRDefault="00000000" w:rsidRPr="00000000" w14:paraId="0000012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Enterprises with broadband subscriptions to a very high-capacity network </w:t>
            </w:r>
          </w:p>
        </w:tc>
        <w:tc>
          <w:tcPr>
            <w:shd w:fill="auto" w:val="clear"/>
          </w:tcPr>
          <w:p w:rsidR="00000000" w:rsidDel="00000000" w:rsidP="00000000" w:rsidRDefault="00000000" w:rsidRPr="00000000" w14:paraId="0000012C">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dwellings</w:t>
            </w:r>
          </w:p>
          <w:p w:rsidR="00000000" w:rsidDel="00000000" w:rsidP="00000000" w:rsidRDefault="00000000" w:rsidRPr="00000000" w14:paraId="0000012D">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2E">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2F">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30">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enterprises</w:t>
            </w:r>
          </w:p>
        </w:tc>
        <w:tc>
          <w:tcPr>
            <w:shd w:fill="auto" w:val="clear"/>
          </w:tcPr>
          <w:p w:rsidR="00000000" w:rsidDel="00000000" w:rsidP="00000000" w:rsidRDefault="00000000" w:rsidRPr="00000000" w14:paraId="0000013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53</w:t>
            </w:r>
          </w:p>
          <w:p w:rsidR="00000000" w:rsidDel="00000000" w:rsidP="00000000" w:rsidRDefault="00000000" w:rsidRPr="00000000" w14:paraId="0000013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54</w:t>
            </w:r>
          </w:p>
          <w:p w:rsidR="00000000" w:rsidDel="00000000" w:rsidP="00000000" w:rsidRDefault="00000000" w:rsidRPr="00000000" w14:paraId="0000013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SDISISRS</w:t>
            </w:r>
          </w:p>
          <w:p w:rsidR="00000000" w:rsidDel="00000000" w:rsidP="00000000" w:rsidRDefault="00000000" w:rsidRPr="00000000" w14:paraId="0000013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SSTDRS</w:t>
            </w:r>
          </w:p>
        </w:tc>
      </w:tr>
      <w:tr>
        <w:trPr>
          <w:cantSplit w:val="0"/>
          <w:tblHeader w:val="0"/>
        </w:trPr>
        <w:tc>
          <w:tcPr>
            <w:shd w:fill="auto" w:val="clear"/>
          </w:tcPr>
          <w:p w:rsidR="00000000" w:rsidDel="00000000" w:rsidP="00000000" w:rsidRDefault="00000000" w:rsidRPr="00000000" w14:paraId="00000135">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3.6 Promoting the transition to a circular and resource-efficient economy</w:t>
            </w:r>
          </w:p>
        </w:tc>
        <w:tc>
          <w:tcPr>
            <w:shd w:fill="auto" w:val="clear"/>
          </w:tcPr>
          <w:p w:rsidR="00000000" w:rsidDel="00000000" w:rsidP="00000000" w:rsidRDefault="00000000" w:rsidRPr="00000000" w14:paraId="0000013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Waste used as raw materials</w:t>
            </w:r>
          </w:p>
        </w:tc>
        <w:tc>
          <w:tcPr>
            <w:shd w:fill="auto" w:val="clear"/>
          </w:tcPr>
          <w:p w:rsidR="00000000" w:rsidDel="00000000" w:rsidP="00000000" w:rsidRDefault="00000000" w:rsidRPr="00000000" w14:paraId="0000013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Increase of Tonnes</w:t>
            </w:r>
          </w:p>
        </w:tc>
        <w:tc>
          <w:tcPr>
            <w:shd w:fill="auto" w:val="clear"/>
          </w:tcPr>
          <w:p w:rsidR="00000000" w:rsidDel="00000000" w:rsidP="00000000" w:rsidRDefault="00000000" w:rsidRPr="00000000" w14:paraId="0000013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48</w:t>
            </w:r>
          </w:p>
          <w:p w:rsidR="00000000" w:rsidDel="00000000" w:rsidP="00000000" w:rsidRDefault="00000000" w:rsidRPr="00000000" w14:paraId="0000013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LCDSRS</w:t>
            </w:r>
          </w:p>
          <w:p w:rsidR="00000000" w:rsidDel="00000000" w:rsidP="00000000" w:rsidRDefault="00000000" w:rsidRPr="00000000" w14:paraId="0000013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SSTDRS</w:t>
            </w:r>
          </w:p>
        </w:tc>
      </w:tr>
      <w:tr>
        <w:trPr>
          <w:cantSplit w:val="0"/>
          <w:tblHeader w:val="0"/>
        </w:trPr>
        <w:tc>
          <w:tcPr>
            <w:shd w:fill="auto" w:val="clear"/>
          </w:tcPr>
          <w:p w:rsidR="00000000" w:rsidDel="00000000" w:rsidP="00000000" w:rsidRDefault="00000000" w:rsidRPr="00000000" w14:paraId="0000013B">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3.7 Supporting and promoting the transition to a net zero carbon economy</w:t>
            </w:r>
          </w:p>
        </w:tc>
        <w:tc>
          <w:tcPr>
            <w:shd w:fill="auto" w:val="clear"/>
          </w:tcPr>
          <w:p w:rsidR="00000000" w:rsidDel="00000000" w:rsidP="00000000" w:rsidRDefault="00000000" w:rsidRPr="00000000" w14:paraId="0000013C">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Estimated greenhouse gas emissions</w:t>
            </w:r>
          </w:p>
          <w:p w:rsidR="00000000" w:rsidDel="00000000" w:rsidP="00000000" w:rsidRDefault="00000000" w:rsidRPr="00000000" w14:paraId="0000013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Estimated greenhouse emissions by boilers and heating systems converted from solid and oil fossil fuels to gas</w:t>
            </w:r>
          </w:p>
          <w:p w:rsidR="00000000" w:rsidDel="00000000" w:rsidP="00000000" w:rsidRDefault="00000000" w:rsidRPr="00000000" w14:paraId="0000013E">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Alternative fuels infrastructure (refuelling/charging points)</w:t>
            </w:r>
          </w:p>
          <w:p w:rsidR="00000000" w:rsidDel="00000000" w:rsidP="00000000" w:rsidRDefault="00000000" w:rsidRPr="00000000" w14:paraId="0000013F">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Afforestation</w:t>
            </w:r>
          </w:p>
        </w:tc>
        <w:tc>
          <w:tcPr>
            <w:shd w:fill="auto" w:val="clear"/>
          </w:tcPr>
          <w:p w:rsidR="00000000" w:rsidDel="00000000" w:rsidP="00000000" w:rsidRDefault="00000000" w:rsidRPr="00000000" w14:paraId="00000140">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Reduction Tonnes CO2</w:t>
            </w:r>
          </w:p>
          <w:p w:rsidR="00000000" w:rsidDel="00000000" w:rsidP="00000000" w:rsidRDefault="00000000" w:rsidRPr="00000000" w14:paraId="00000141">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42">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43">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Reduction Tonnes CO2</w:t>
            </w:r>
          </w:p>
          <w:p w:rsidR="00000000" w:rsidDel="00000000" w:rsidP="00000000" w:rsidRDefault="00000000" w:rsidRPr="00000000" w14:paraId="00000144">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45">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4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points</w:t>
            </w:r>
          </w:p>
          <w:p w:rsidR="00000000" w:rsidDel="00000000" w:rsidP="00000000" w:rsidRDefault="00000000" w:rsidRPr="00000000" w14:paraId="00000147">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48">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Square meters/hectares </w:t>
            </w:r>
          </w:p>
        </w:tc>
        <w:tc>
          <w:tcPr>
            <w:shd w:fill="auto" w:val="clear"/>
          </w:tcPr>
          <w:p w:rsidR="00000000" w:rsidDel="00000000" w:rsidP="00000000" w:rsidRDefault="00000000" w:rsidRPr="00000000" w14:paraId="0000014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29</w:t>
            </w:r>
          </w:p>
          <w:p w:rsidR="00000000" w:rsidDel="00000000" w:rsidP="00000000" w:rsidRDefault="00000000" w:rsidRPr="00000000" w14:paraId="0000014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105</w:t>
            </w:r>
          </w:p>
          <w:p w:rsidR="00000000" w:rsidDel="00000000" w:rsidP="00000000" w:rsidRDefault="00000000" w:rsidRPr="00000000" w14:paraId="0000014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59</w:t>
            </w:r>
          </w:p>
          <w:p w:rsidR="00000000" w:rsidDel="00000000" w:rsidP="00000000" w:rsidRDefault="00000000" w:rsidRPr="00000000" w14:paraId="0000014C">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LCDSRS</w:t>
            </w:r>
          </w:p>
          <w:p w:rsidR="00000000" w:rsidDel="00000000" w:rsidP="00000000" w:rsidRDefault="00000000" w:rsidRPr="00000000" w14:paraId="0000014D">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SSTDRS</w:t>
            </w:r>
          </w:p>
        </w:tc>
      </w:tr>
      <w:tr>
        <w:trPr>
          <w:cantSplit w:val="0"/>
          <w:tblHeader w:val="0"/>
        </w:trPr>
        <w:tc>
          <w:tcPr>
            <w:gridSpan w:val="4"/>
            <w:shd w:fill="auto" w:val="clear"/>
          </w:tcPr>
          <w:p w:rsidR="00000000" w:rsidDel="00000000" w:rsidP="00000000" w:rsidRDefault="00000000" w:rsidRPr="00000000" w14:paraId="0000014E">
            <w:pPr>
              <w:spacing w:after="0" w:line="240" w:lineRule="auto"/>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area 4: </w:t>
            </w:r>
          </w:p>
          <w:p w:rsidR="00000000" w:rsidDel="00000000" w:rsidP="00000000" w:rsidRDefault="00000000" w:rsidRPr="00000000" w14:paraId="0000014F">
            <w:pPr>
              <w:spacing w:after="0" w:line="240" w:lineRule="auto"/>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Social well-being</w:t>
            </w:r>
          </w:p>
          <w:p w:rsidR="00000000" w:rsidDel="00000000" w:rsidP="00000000" w:rsidRDefault="00000000" w:rsidRPr="00000000" w14:paraId="00000150">
            <w:pPr>
              <w:spacing w:after="0" w:line="240" w:lineRule="auto"/>
              <w:jc w:val="both"/>
              <w:rPr>
                <w:rFonts w:ascii="Open Sans" w:cs="Open Sans" w:eastAsia="Open Sans" w:hAnsi="Open Sans"/>
                <w:b w:val="1"/>
                <w:sz w:val="18"/>
                <w:szCs w:val="18"/>
              </w:rPr>
            </w:pP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154">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objective : Improvement of well-being</w:t>
            </w:r>
          </w:p>
          <w:p w:rsidR="00000000" w:rsidDel="00000000" w:rsidP="00000000" w:rsidRDefault="00000000" w:rsidRPr="00000000" w14:paraId="00000155">
            <w:pPr>
              <w:widowControl w:val="0"/>
              <w:spacing w:line="240" w:lineRule="auto"/>
              <w:jc w:val="center"/>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4.1 Improving the effectiveness and inclusiveness of labour markets and access to quality employment and dignified work through the development of social infrastructure and the promotion of social entrepreneurship</w:t>
            </w:r>
          </w:p>
        </w:tc>
        <w:tc>
          <w:tcPr>
            <w:shd w:fill="auto" w:val="clear"/>
          </w:tcPr>
          <w:p w:rsidR="00000000" w:rsidDel="00000000" w:rsidP="00000000" w:rsidRDefault="00000000" w:rsidRPr="00000000" w14:paraId="0000015A">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Surface of new or modernised facilities for employment services</w:t>
            </w:r>
          </w:p>
          <w:p w:rsidR="00000000" w:rsidDel="00000000" w:rsidP="00000000" w:rsidRDefault="00000000" w:rsidRPr="00000000" w14:paraId="0000015B">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or modernised facilities for employment services</w:t>
            </w:r>
          </w:p>
          <w:p w:rsidR="00000000" w:rsidDel="00000000" w:rsidP="00000000" w:rsidRDefault="00000000" w:rsidRPr="00000000" w14:paraId="0000015C">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Pr>
          <w:p w:rsidR="00000000" w:rsidDel="00000000" w:rsidP="00000000" w:rsidRDefault="00000000" w:rsidRPr="00000000" w14:paraId="0000015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Square meters</w:t>
            </w:r>
          </w:p>
          <w:p w:rsidR="00000000" w:rsidDel="00000000" w:rsidP="00000000" w:rsidRDefault="00000000" w:rsidRPr="00000000" w14:paraId="0000015E">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5F">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users</w:t>
            </w:r>
          </w:p>
        </w:tc>
        <w:tc>
          <w:tcPr>
            <w:shd w:fill="auto" w:val="clear"/>
          </w:tcPr>
          <w:p w:rsidR="00000000" w:rsidDel="00000000" w:rsidP="00000000" w:rsidRDefault="00000000" w:rsidRPr="00000000" w14:paraId="00000160">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61</w:t>
            </w:r>
          </w:p>
          <w:p w:rsidR="00000000" w:rsidDel="00000000" w:rsidP="00000000" w:rsidRDefault="00000000" w:rsidRPr="00000000" w14:paraId="0000016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65</w:t>
            </w:r>
          </w:p>
          <w:p w:rsidR="00000000" w:rsidDel="00000000" w:rsidP="00000000" w:rsidRDefault="00000000" w:rsidRPr="00000000" w14:paraId="0000016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ESRS</w:t>
            </w:r>
          </w:p>
        </w:tc>
      </w:tr>
      <w:tr>
        <w:trPr>
          <w:cantSplit w:val="0"/>
          <w:tblHeader w:val="0"/>
        </w:trPr>
        <w:tc>
          <w:tcPr>
            <w:shd w:fill="auto" w:val="clear"/>
          </w:tcPr>
          <w:p w:rsidR="00000000" w:rsidDel="00000000" w:rsidP="00000000" w:rsidRDefault="00000000" w:rsidRPr="00000000" w14:paraId="00000163">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4.2 Development of social infrastructure and services and encouragement of social inclusion and social innovation</w:t>
            </w:r>
          </w:p>
          <w:p w:rsidR="00000000" w:rsidDel="00000000" w:rsidP="00000000" w:rsidRDefault="00000000" w:rsidRPr="00000000" w14:paraId="00000164">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Pr>
          <w:p w:rsidR="00000000" w:rsidDel="00000000" w:rsidP="00000000" w:rsidRDefault="00000000" w:rsidRPr="00000000" w14:paraId="0000016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and modernised social care facilities </w:t>
            </w:r>
          </w:p>
          <w:p w:rsidR="00000000" w:rsidDel="00000000" w:rsidP="00000000" w:rsidRDefault="00000000" w:rsidRPr="00000000" w14:paraId="0000016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Population covered by projects in the framework of integrated actions for socioeconomic inclusion of marginalised communities, low-income households and disadvantaged groups</w:t>
            </w:r>
          </w:p>
        </w:tc>
        <w:tc>
          <w:tcPr>
            <w:shd w:fill="auto" w:val="clear"/>
          </w:tcPr>
          <w:p w:rsidR="00000000" w:rsidDel="00000000" w:rsidP="00000000" w:rsidRDefault="00000000" w:rsidRPr="00000000" w14:paraId="0000016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users</w:t>
            </w:r>
          </w:p>
          <w:p w:rsidR="00000000" w:rsidDel="00000000" w:rsidP="00000000" w:rsidRDefault="00000000" w:rsidRPr="00000000" w14:paraId="00000168">
            <w:pPr>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69">
            <w:pPr>
              <w:spacing w:line="240" w:lineRule="auto"/>
              <w:rPr>
                <w:rFonts w:ascii="Open Sans" w:cs="Open Sans" w:eastAsia="Open Sans" w:hAnsi="Open Sans"/>
                <w:sz w:val="18"/>
                <w:szCs w:val="18"/>
              </w:rPr>
            </w:pPr>
            <w:r w:rsidDel="00000000" w:rsidR="00000000" w:rsidRPr="00000000">
              <w:rPr>
                <w:rtl w:val="0"/>
              </w:rPr>
            </w:r>
          </w:p>
        </w:tc>
        <w:tc>
          <w:tcPr>
            <w:shd w:fill="auto" w:val="clear"/>
          </w:tcPr>
          <w:p w:rsidR="00000000" w:rsidDel="00000000" w:rsidP="00000000" w:rsidRDefault="00000000" w:rsidRPr="00000000" w14:paraId="0000016A">
            <w:pPr>
              <w:widowControl w:val="0"/>
              <w:spacing w:after="240" w:before="240"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74</w:t>
            </w:r>
          </w:p>
          <w:p w:rsidR="00000000" w:rsidDel="00000000" w:rsidP="00000000" w:rsidRDefault="00000000" w:rsidRPr="00000000" w14:paraId="0000016B">
            <w:pPr>
              <w:widowControl w:val="0"/>
              <w:spacing w:after="240" w:before="240"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6C">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113</w:t>
            </w:r>
          </w:p>
          <w:p w:rsidR="00000000" w:rsidDel="00000000" w:rsidP="00000000" w:rsidRDefault="00000000" w:rsidRPr="00000000" w14:paraId="0000016D">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SDDSPSC</w:t>
            </w:r>
          </w:p>
        </w:tc>
      </w:tr>
      <w:tr>
        <w:trPr>
          <w:cantSplit w:val="0"/>
          <w:tblHeader w:val="0"/>
        </w:trPr>
        <w:tc>
          <w:tcPr>
            <w:shd w:fill="auto" w:val="clear"/>
          </w:tcPr>
          <w:p w:rsidR="00000000" w:rsidDel="00000000" w:rsidP="00000000" w:rsidRDefault="00000000" w:rsidRPr="00000000" w14:paraId="0000016E">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4.3. Promoting the socioeconomic inclusion of marginalised communities, low-income households and disadvantaged social groups, including people with special needs, through integrated action that includes housing and social services</w:t>
            </w:r>
          </w:p>
        </w:tc>
        <w:tc>
          <w:tcPr>
            <w:shd w:fill="auto" w:val="clear"/>
          </w:tcPr>
          <w:p w:rsidR="00000000" w:rsidDel="00000000" w:rsidP="00000000" w:rsidRDefault="00000000" w:rsidRPr="00000000" w14:paraId="0000016F">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or modernised social housing</w:t>
            </w:r>
          </w:p>
          <w:p w:rsidR="00000000" w:rsidDel="00000000" w:rsidP="00000000" w:rsidRDefault="00000000" w:rsidRPr="00000000" w14:paraId="00000170">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Pr>
          <w:p w:rsidR="00000000" w:rsidDel="00000000" w:rsidP="00000000" w:rsidRDefault="00000000" w:rsidRPr="00000000" w14:paraId="00000171">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or households</w:t>
            </w:r>
          </w:p>
        </w:tc>
        <w:tc>
          <w:tcPr>
            <w:shd w:fill="auto" w:val="clear"/>
          </w:tcPr>
          <w:p w:rsidR="00000000" w:rsidDel="00000000" w:rsidP="00000000" w:rsidRDefault="00000000" w:rsidRPr="00000000" w14:paraId="0000017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67</w:t>
            </w:r>
          </w:p>
          <w:p w:rsidR="00000000" w:rsidDel="00000000" w:rsidP="00000000" w:rsidRDefault="00000000" w:rsidRPr="00000000" w14:paraId="0000017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p w:rsidR="00000000" w:rsidDel="00000000" w:rsidP="00000000" w:rsidRDefault="00000000" w:rsidRPr="00000000" w14:paraId="0000017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SDDSPSC</w:t>
            </w:r>
          </w:p>
        </w:tc>
      </w:tr>
      <w:tr>
        <w:trPr>
          <w:cantSplit w:val="0"/>
          <w:tblHeader w:val="0"/>
        </w:trPr>
        <w:tc>
          <w:tcPr>
            <w:shd w:fill="auto" w:val="clear"/>
          </w:tcPr>
          <w:p w:rsidR="00000000" w:rsidDel="00000000" w:rsidP="00000000" w:rsidRDefault="00000000" w:rsidRPr="00000000" w14:paraId="0000017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4.4 Improving equal access to inclusive and quality education</w:t>
            </w:r>
          </w:p>
        </w:tc>
        <w:tc>
          <w:tcPr>
            <w:shd w:fill="auto" w:val="clear"/>
          </w:tcPr>
          <w:p w:rsidR="00000000" w:rsidDel="00000000" w:rsidP="00000000" w:rsidRDefault="00000000" w:rsidRPr="00000000" w14:paraId="0000017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or modernised childcare facilities</w:t>
            </w:r>
          </w:p>
          <w:p w:rsidR="00000000" w:rsidDel="00000000" w:rsidP="00000000" w:rsidRDefault="00000000" w:rsidRPr="00000000" w14:paraId="0000017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or modernised education facilities</w:t>
            </w:r>
          </w:p>
        </w:tc>
        <w:tc>
          <w:tcPr>
            <w:shd w:fill="auto" w:val="clear"/>
          </w:tcPr>
          <w:p w:rsidR="00000000" w:rsidDel="00000000" w:rsidP="00000000" w:rsidRDefault="00000000" w:rsidRPr="00000000" w14:paraId="00000178">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users</w:t>
            </w:r>
          </w:p>
        </w:tc>
        <w:tc>
          <w:tcPr>
            <w:shd w:fill="auto" w:val="clear"/>
          </w:tcPr>
          <w:p w:rsidR="00000000" w:rsidDel="00000000" w:rsidP="00000000" w:rsidRDefault="00000000" w:rsidRPr="00000000" w14:paraId="0000017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70</w:t>
            </w:r>
          </w:p>
          <w:p w:rsidR="00000000" w:rsidDel="00000000" w:rsidP="00000000" w:rsidRDefault="00000000" w:rsidRPr="00000000" w14:paraId="0000017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71</w:t>
            </w:r>
          </w:p>
          <w:p w:rsidR="00000000" w:rsidDel="00000000" w:rsidP="00000000" w:rsidRDefault="00000000" w:rsidRPr="00000000" w14:paraId="0000017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SDEURS</w:t>
            </w:r>
          </w:p>
        </w:tc>
      </w:tr>
      <w:tr>
        <w:trPr>
          <w:cantSplit w:val="0"/>
          <w:tblHeader w:val="0"/>
        </w:trPr>
        <w:tc>
          <w:tcPr>
            <w:shd w:fill="auto" w:val="clear"/>
          </w:tcPr>
          <w:p w:rsidR="00000000" w:rsidDel="00000000" w:rsidP="00000000" w:rsidRDefault="00000000" w:rsidRPr="00000000" w14:paraId="0000017C">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4.5 Ensuring equal access to health care and fostering the resilience of health systems</w:t>
            </w:r>
          </w:p>
        </w:tc>
        <w:tc>
          <w:tcPr>
            <w:shd w:fill="auto" w:val="clear"/>
          </w:tcPr>
          <w:p w:rsidR="00000000" w:rsidDel="00000000" w:rsidP="00000000" w:rsidRDefault="00000000" w:rsidRPr="00000000" w14:paraId="0000017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and modernised e-health care services</w:t>
            </w:r>
          </w:p>
          <w:p w:rsidR="00000000" w:rsidDel="00000000" w:rsidP="00000000" w:rsidRDefault="00000000" w:rsidRPr="00000000" w14:paraId="0000017E">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health care facilities</w:t>
            </w:r>
          </w:p>
        </w:tc>
        <w:tc>
          <w:tcPr>
            <w:shd w:fill="auto" w:val="clear"/>
          </w:tcPr>
          <w:p w:rsidR="00000000" w:rsidDel="00000000" w:rsidP="00000000" w:rsidRDefault="00000000" w:rsidRPr="00000000" w14:paraId="0000017F">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tc>
        <w:tc>
          <w:tcPr>
            <w:shd w:fill="auto" w:val="clear"/>
          </w:tcPr>
          <w:p w:rsidR="00000000" w:rsidDel="00000000" w:rsidP="00000000" w:rsidRDefault="00000000" w:rsidRPr="00000000" w14:paraId="00000180">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72</w:t>
            </w:r>
          </w:p>
          <w:p w:rsidR="00000000" w:rsidDel="00000000" w:rsidP="00000000" w:rsidRDefault="00000000" w:rsidRPr="00000000" w14:paraId="0000018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73</w:t>
            </w:r>
          </w:p>
          <w:p w:rsidR="00000000" w:rsidDel="00000000" w:rsidP="00000000" w:rsidRDefault="00000000" w:rsidRPr="00000000" w14:paraId="0000018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PHSRS</w:t>
            </w:r>
          </w:p>
        </w:tc>
      </w:tr>
      <w:tr>
        <w:trPr>
          <w:cantSplit w:val="0"/>
          <w:tblHeader w:val="0"/>
        </w:trPr>
        <w:tc>
          <w:tcPr>
            <w:shd w:fill="auto" w:val="clear"/>
          </w:tcPr>
          <w:p w:rsidR="00000000" w:rsidDel="00000000" w:rsidP="00000000" w:rsidRDefault="00000000" w:rsidRPr="00000000" w14:paraId="00000183">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4.6 Ensuring equal access to cultural services, programs and facilities</w:t>
            </w:r>
          </w:p>
        </w:tc>
        <w:tc>
          <w:tcPr>
            <w:shd w:fill="auto" w:val="clear"/>
          </w:tcPr>
          <w:p w:rsidR="00000000" w:rsidDel="00000000" w:rsidP="00000000" w:rsidRDefault="00000000" w:rsidRPr="00000000" w14:paraId="00000184">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or modernised cultural facilities</w:t>
            </w:r>
          </w:p>
        </w:tc>
        <w:tc>
          <w:tcPr>
            <w:shd w:fill="auto" w:val="clear"/>
          </w:tcPr>
          <w:p w:rsidR="00000000" w:rsidDel="00000000" w:rsidP="00000000" w:rsidRDefault="00000000" w:rsidRPr="00000000" w14:paraId="00000185">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tc>
        <w:tc>
          <w:tcPr>
            <w:shd w:fill="auto" w:val="clear"/>
          </w:tcPr>
          <w:p w:rsidR="00000000" w:rsidDel="00000000" w:rsidP="00000000" w:rsidRDefault="00000000" w:rsidRPr="00000000" w14:paraId="0000018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SDCRS</w:t>
            </w:r>
          </w:p>
        </w:tc>
      </w:tr>
      <w:tr>
        <w:trPr>
          <w:cantSplit w:val="0"/>
          <w:tblHeader w:val="0"/>
        </w:trPr>
        <w:tc>
          <w:tcPr>
            <w:shd w:fill="auto" w:val="clear"/>
          </w:tcPr>
          <w:p w:rsidR="00000000" w:rsidDel="00000000" w:rsidP="00000000" w:rsidRDefault="00000000" w:rsidRPr="00000000" w14:paraId="0000018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4.7 Ensuring equal access to sports and recreation services, contents and facilities</w:t>
            </w:r>
          </w:p>
        </w:tc>
        <w:tc>
          <w:tcPr>
            <w:shd w:fill="auto" w:val="clear"/>
          </w:tcPr>
          <w:p w:rsidR="00000000" w:rsidDel="00000000" w:rsidP="00000000" w:rsidRDefault="00000000" w:rsidRPr="00000000" w14:paraId="00000188">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or modernised sport and recreation facilities</w:t>
            </w:r>
          </w:p>
        </w:tc>
        <w:tc>
          <w:tcPr>
            <w:shd w:fill="auto" w:val="clear"/>
          </w:tcPr>
          <w:p w:rsidR="00000000" w:rsidDel="00000000" w:rsidP="00000000" w:rsidRDefault="00000000" w:rsidRPr="00000000" w14:paraId="00000189">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tc>
        <w:tc>
          <w:tcPr>
            <w:shd w:fill="auto" w:val="clear"/>
          </w:tcPr>
          <w:p w:rsidR="00000000" w:rsidDel="00000000" w:rsidP="00000000" w:rsidRDefault="00000000" w:rsidRPr="00000000" w14:paraId="0000018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SYRS</w:t>
            </w:r>
          </w:p>
          <w:p w:rsidR="00000000" w:rsidDel="00000000" w:rsidP="00000000" w:rsidRDefault="00000000" w:rsidRPr="00000000" w14:paraId="0000018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SPRS</w:t>
            </w:r>
          </w:p>
        </w:tc>
      </w:tr>
      <w:tr>
        <w:trPr>
          <w:cantSplit w:val="0"/>
          <w:tblHeader w:val="0"/>
        </w:trPr>
        <w:tc>
          <w:tcPr>
            <w:shd w:fill="auto" w:val="clear"/>
          </w:tcPr>
          <w:p w:rsidR="00000000" w:rsidDel="00000000" w:rsidP="00000000" w:rsidRDefault="00000000" w:rsidRPr="00000000" w14:paraId="0000018C">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4.8 Creating a stimulating environment for youth initiatives and activities</w:t>
            </w:r>
          </w:p>
        </w:tc>
        <w:tc>
          <w:tcPr>
            <w:shd w:fill="auto" w:val="clear"/>
          </w:tcPr>
          <w:p w:rsidR="00000000" w:rsidDel="00000000" w:rsidP="00000000" w:rsidRDefault="00000000" w:rsidRPr="00000000" w14:paraId="0000018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Annual users of new or modernised youth initiatives and activities facilities</w:t>
            </w:r>
          </w:p>
        </w:tc>
        <w:tc>
          <w:tcPr>
            <w:shd w:fill="auto" w:val="clear"/>
          </w:tcPr>
          <w:p w:rsidR="00000000" w:rsidDel="00000000" w:rsidP="00000000" w:rsidRDefault="00000000" w:rsidRPr="00000000" w14:paraId="0000018E">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tc>
        <w:tc>
          <w:tcPr>
            <w:shd w:fill="auto" w:val="clear"/>
          </w:tcPr>
          <w:p w:rsidR="00000000" w:rsidDel="00000000" w:rsidP="00000000" w:rsidRDefault="00000000" w:rsidRPr="00000000" w14:paraId="0000018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SYRS</w:t>
            </w:r>
          </w:p>
        </w:tc>
      </w:tr>
      <w:tr>
        <w:trPr>
          <w:cantSplit w:val="0"/>
          <w:tblHeader w:val="0"/>
        </w:trPr>
        <w:tc>
          <w:tcPr>
            <w:gridSpan w:val="4"/>
            <w:shd w:fill="auto" w:val="clear"/>
          </w:tcPr>
          <w:p w:rsidR="00000000" w:rsidDel="00000000" w:rsidP="00000000" w:rsidRDefault="00000000" w:rsidRPr="00000000" w14:paraId="00000190">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area 5: </w:t>
            </w:r>
          </w:p>
          <w:p w:rsidR="00000000" w:rsidDel="00000000" w:rsidP="00000000" w:rsidRDefault="00000000" w:rsidRPr="00000000" w14:paraId="00000191">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Urban and Territorial Development Governance</w:t>
            </w:r>
          </w:p>
          <w:p w:rsidR="00000000" w:rsidDel="00000000" w:rsidP="00000000" w:rsidRDefault="00000000" w:rsidRPr="00000000" w14:paraId="00000192">
            <w:pPr>
              <w:widowControl w:val="0"/>
              <w:spacing w:line="240" w:lineRule="auto"/>
              <w:rPr>
                <w:rFonts w:ascii="Open Sans" w:cs="Open Sans" w:eastAsia="Open Sans" w:hAnsi="Open Sans"/>
                <w:b w:val="1"/>
                <w:sz w:val="18"/>
                <w:szCs w:val="18"/>
              </w:rPr>
            </w:pP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196">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Thematic objective: Improvement of urban/territorial governance</w:t>
            </w:r>
          </w:p>
          <w:p w:rsidR="00000000" w:rsidDel="00000000" w:rsidP="00000000" w:rsidRDefault="00000000" w:rsidRPr="00000000" w14:paraId="00000197">
            <w:pPr>
              <w:widowControl w:val="0"/>
              <w:spacing w:line="240" w:lineRule="auto"/>
              <w:jc w:val="center"/>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5.1 Supporting urban/territorial governance at multiple levels - local, national, international, EU, etc.</w:t>
            </w:r>
          </w:p>
          <w:p w:rsidR="00000000" w:rsidDel="00000000" w:rsidP="00000000" w:rsidRDefault="00000000" w:rsidRPr="00000000" w14:paraId="0000019C">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Pr>
          <w:p w:rsidR="00000000" w:rsidDel="00000000" w:rsidP="00000000" w:rsidRDefault="00000000" w:rsidRPr="00000000" w14:paraId="0000019D">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Established Project Coordination Unit (PCU) to support the City to implement the Strategy</w:t>
            </w:r>
          </w:p>
          <w:p w:rsidR="00000000" w:rsidDel="00000000" w:rsidP="00000000" w:rsidRDefault="00000000" w:rsidRPr="00000000" w14:paraId="0000019E">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Integrated projects for territorial development that involve local, national, international, EU level, and comprise different governance instruments – collaborative, command, hybrid</w:t>
            </w:r>
          </w:p>
        </w:tc>
        <w:tc>
          <w:tcPr>
            <w:shd w:fill="auto" w:val="clear"/>
          </w:tcPr>
          <w:p w:rsidR="00000000" w:rsidDel="00000000" w:rsidP="00000000" w:rsidRDefault="00000000" w:rsidRPr="00000000" w14:paraId="0000019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Y/N</w:t>
            </w:r>
          </w:p>
          <w:p w:rsidR="00000000" w:rsidDel="00000000" w:rsidP="00000000" w:rsidRDefault="00000000" w:rsidRPr="00000000" w14:paraId="000001A0">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A1">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A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contract for projects</w:t>
            </w:r>
          </w:p>
        </w:tc>
        <w:tc>
          <w:tcPr>
            <w:shd w:fill="auto" w:val="clear"/>
          </w:tcPr>
          <w:p w:rsidR="00000000" w:rsidDel="00000000" w:rsidP="00000000" w:rsidRDefault="00000000" w:rsidRPr="00000000" w14:paraId="000001A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75</w:t>
            </w:r>
          </w:p>
          <w:p w:rsidR="00000000" w:rsidDel="00000000" w:rsidP="00000000" w:rsidRDefault="00000000" w:rsidRPr="00000000" w14:paraId="000001A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76</w:t>
            </w:r>
          </w:p>
          <w:p w:rsidR="00000000" w:rsidDel="00000000" w:rsidP="00000000" w:rsidRDefault="00000000" w:rsidRPr="00000000" w14:paraId="000001A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tc>
      </w:tr>
      <w:tr>
        <w:trPr>
          <w:cantSplit w:val="0"/>
          <w:tblHeader w:val="0"/>
        </w:trPr>
        <w:tc>
          <w:tcPr>
            <w:shd w:fill="auto" w:val="clear"/>
          </w:tcPr>
          <w:p w:rsidR="00000000" w:rsidDel="00000000" w:rsidP="00000000" w:rsidRDefault="00000000" w:rsidRPr="00000000" w14:paraId="000001A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5.2 Supporting a multi-stakeholder approach - economy, academia, public and civil sector</w:t>
            </w:r>
          </w:p>
        </w:tc>
        <w:tc>
          <w:tcPr>
            <w:shd w:fill="auto" w:val="clear"/>
          </w:tcPr>
          <w:p w:rsidR="00000000" w:rsidDel="00000000" w:rsidP="00000000" w:rsidRDefault="00000000" w:rsidRPr="00000000" w14:paraId="000001A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Application of the Quadruple and Quintuple Helix Model of innovation</w:t>
            </w:r>
          </w:p>
        </w:tc>
        <w:tc>
          <w:tcPr>
            <w:shd w:fill="auto" w:val="clear"/>
          </w:tcPr>
          <w:p w:rsidR="00000000" w:rsidDel="00000000" w:rsidP="00000000" w:rsidRDefault="00000000" w:rsidRPr="00000000" w14:paraId="000001A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initiatives </w:t>
            </w:r>
          </w:p>
        </w:tc>
        <w:tc>
          <w:tcPr>
            <w:shd w:fill="auto" w:val="clear"/>
          </w:tcPr>
          <w:p w:rsidR="00000000" w:rsidDel="00000000" w:rsidP="00000000" w:rsidRDefault="00000000" w:rsidRPr="00000000" w14:paraId="000001A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SSSRS</w:t>
            </w:r>
          </w:p>
          <w:p w:rsidR="00000000" w:rsidDel="00000000" w:rsidP="00000000" w:rsidRDefault="00000000" w:rsidRPr="00000000" w14:paraId="000001A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p w:rsidR="00000000" w:rsidDel="00000000" w:rsidP="00000000" w:rsidRDefault="00000000" w:rsidRPr="00000000" w14:paraId="000001A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SSTDRS</w:t>
            </w:r>
          </w:p>
        </w:tc>
      </w:tr>
      <w:tr>
        <w:trPr>
          <w:cantSplit w:val="0"/>
          <w:tblHeader w:val="0"/>
        </w:trPr>
        <w:tc>
          <w:tcPr>
            <w:shd w:fill="auto" w:val="clear"/>
          </w:tcPr>
          <w:p w:rsidR="00000000" w:rsidDel="00000000" w:rsidP="00000000" w:rsidRDefault="00000000" w:rsidRPr="00000000" w14:paraId="000001AC">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5.3 Improvement of inter-municipal cooperation through institutional cooperation</w:t>
            </w:r>
          </w:p>
        </w:tc>
        <w:tc>
          <w:tcPr>
            <w:shd w:fill="auto" w:val="clear"/>
          </w:tcPr>
          <w:p w:rsidR="00000000" w:rsidDel="00000000" w:rsidP="00000000" w:rsidRDefault="00000000" w:rsidRPr="00000000" w14:paraId="000001AD">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Population covered by projects in the framework of strategies for integrated territorial development</w:t>
            </w:r>
          </w:p>
        </w:tc>
        <w:tc>
          <w:tcPr>
            <w:shd w:fill="auto" w:val="clear"/>
          </w:tcPr>
          <w:p w:rsidR="00000000" w:rsidDel="00000000" w:rsidP="00000000" w:rsidRDefault="00000000" w:rsidRPr="00000000" w14:paraId="000001AE">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tc>
        <w:tc>
          <w:tcPr>
            <w:shd w:fill="auto" w:val="clear"/>
          </w:tcPr>
          <w:p w:rsidR="00000000" w:rsidDel="00000000" w:rsidP="00000000" w:rsidRDefault="00000000" w:rsidRPr="00000000" w14:paraId="000001A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74</w:t>
            </w:r>
          </w:p>
        </w:tc>
      </w:tr>
      <w:tr>
        <w:trPr>
          <w:cantSplit w:val="0"/>
          <w:tblHeader w:val="0"/>
        </w:trPr>
        <w:tc>
          <w:tcPr>
            <w:shd w:fill="auto" w:val="clear"/>
          </w:tcPr>
          <w:p w:rsidR="00000000" w:rsidDel="00000000" w:rsidP="00000000" w:rsidRDefault="00000000" w:rsidRPr="00000000" w14:paraId="000001B0">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5.4 Supporting participatory approach and community-led initiatives with the involvement of local actors</w:t>
            </w:r>
          </w:p>
        </w:tc>
        <w:tc>
          <w:tcPr>
            <w:shd w:fill="auto" w:val="clear"/>
          </w:tcPr>
          <w:p w:rsidR="00000000" w:rsidDel="00000000" w:rsidP="00000000" w:rsidRDefault="00000000" w:rsidRPr="00000000" w14:paraId="000001B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Stakeholders involved in the preparation and implementation of strategies/projects for integrated territorial development</w:t>
            </w:r>
          </w:p>
          <w:p w:rsidR="00000000" w:rsidDel="00000000" w:rsidP="00000000" w:rsidRDefault="00000000" w:rsidRPr="00000000" w14:paraId="000001B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-Community-led local development strategies supported</w:t>
            </w:r>
          </w:p>
          <w:p w:rsidR="00000000" w:rsidDel="00000000" w:rsidP="00000000" w:rsidRDefault="00000000" w:rsidRPr="00000000" w14:paraId="000001B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Developed innovative solutions like open innovation platform, living laboratory, citizen science, etc.</w:t>
            </w:r>
          </w:p>
          <w:p w:rsidR="00000000" w:rsidDel="00000000" w:rsidP="00000000" w:rsidRDefault="00000000" w:rsidRPr="00000000" w14:paraId="000001B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Application of a gender-responsive approach in the development and implementation of strategies</w:t>
            </w:r>
          </w:p>
        </w:tc>
        <w:tc>
          <w:tcPr>
            <w:shd w:fill="auto" w:val="clear"/>
          </w:tcPr>
          <w:p w:rsidR="00000000" w:rsidDel="00000000" w:rsidP="00000000" w:rsidRDefault="00000000" w:rsidRPr="00000000" w14:paraId="000001B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stakeholders</w:t>
            </w:r>
          </w:p>
          <w:p w:rsidR="00000000" w:rsidDel="00000000" w:rsidP="00000000" w:rsidRDefault="00000000" w:rsidRPr="00000000" w14:paraId="000001B6">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B7">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B8">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B9">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BA">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BB">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BC">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BD">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BE">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BF">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C0">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people</w:t>
            </w:r>
          </w:p>
        </w:tc>
        <w:tc>
          <w:tcPr>
            <w:shd w:fill="auto" w:val="clear"/>
          </w:tcPr>
          <w:p w:rsidR="00000000" w:rsidDel="00000000" w:rsidP="00000000" w:rsidRDefault="00000000" w:rsidRPr="00000000" w14:paraId="000001C1">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112</w:t>
            </w:r>
          </w:p>
          <w:p w:rsidR="00000000" w:rsidDel="00000000" w:rsidP="00000000" w:rsidRDefault="00000000" w:rsidRPr="00000000" w14:paraId="000001C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80</w:t>
            </w:r>
          </w:p>
          <w:p w:rsidR="00000000" w:rsidDel="00000000" w:rsidP="00000000" w:rsidRDefault="00000000" w:rsidRPr="00000000" w14:paraId="000001C3">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LGQ</w:t>
            </w:r>
          </w:p>
          <w:p w:rsidR="00000000" w:rsidDel="00000000" w:rsidP="00000000" w:rsidRDefault="00000000" w:rsidRPr="00000000" w14:paraId="000001C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p w:rsidR="00000000" w:rsidDel="00000000" w:rsidP="00000000" w:rsidRDefault="00000000" w:rsidRPr="00000000" w14:paraId="000001C5">
            <w:pPr>
              <w:widowControl w:val="0"/>
              <w:spacing w:line="240" w:lineRule="auto"/>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C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5.5 Supporting blending of urban development funding from different types of funding (domestic and international)</w:t>
            </w:r>
          </w:p>
        </w:tc>
        <w:tc>
          <w:tcPr>
            <w:shd w:fill="auto" w:val="clear"/>
          </w:tcPr>
          <w:p w:rsidR="00000000" w:rsidDel="00000000" w:rsidP="00000000" w:rsidRDefault="00000000" w:rsidRPr="00000000" w14:paraId="000001C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The use of different sources of financing of the priority interventions of the urban area strategy</w:t>
            </w:r>
          </w:p>
          <w:p w:rsidR="00000000" w:rsidDel="00000000" w:rsidP="00000000" w:rsidRDefault="00000000" w:rsidRPr="00000000" w14:paraId="000001C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Implementation of public-private partnerships</w:t>
            </w:r>
          </w:p>
          <w:p w:rsidR="00000000" w:rsidDel="00000000" w:rsidP="00000000" w:rsidRDefault="00000000" w:rsidRPr="00000000" w14:paraId="000001C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Strategies for integrated territorial development supported</w:t>
            </w:r>
          </w:p>
          <w:p w:rsidR="00000000" w:rsidDel="00000000" w:rsidP="00000000" w:rsidRDefault="00000000" w:rsidRPr="00000000" w14:paraId="000001C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Community-led local development strategies supported</w:t>
            </w:r>
          </w:p>
        </w:tc>
        <w:tc>
          <w:tcPr>
            <w:shd w:fill="auto" w:val="clear"/>
          </w:tcPr>
          <w:p w:rsidR="00000000" w:rsidDel="00000000" w:rsidP="00000000" w:rsidRDefault="00000000" w:rsidRPr="00000000" w14:paraId="000001C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Value in EUR</w:t>
            </w:r>
          </w:p>
          <w:p w:rsidR="00000000" w:rsidDel="00000000" w:rsidP="00000000" w:rsidRDefault="00000000" w:rsidRPr="00000000" w14:paraId="000001CC">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CD">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CE">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CF">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PPP projects </w:t>
            </w:r>
          </w:p>
          <w:p w:rsidR="00000000" w:rsidDel="00000000" w:rsidP="00000000" w:rsidRDefault="00000000" w:rsidRPr="00000000" w14:paraId="000001D0">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D1">
            <w:pPr>
              <w:widowControl w:val="0"/>
              <w:spacing w:line="240"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D2">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strategies</w:t>
            </w:r>
          </w:p>
          <w:p w:rsidR="00000000" w:rsidDel="00000000" w:rsidP="00000000" w:rsidRDefault="00000000" w:rsidRPr="00000000" w14:paraId="000001D3">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Pr>
          <w:p w:rsidR="00000000" w:rsidDel="00000000" w:rsidP="00000000" w:rsidRDefault="00000000" w:rsidRPr="00000000" w14:paraId="000001D4">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75</w:t>
            </w:r>
          </w:p>
          <w:p w:rsidR="00000000" w:rsidDel="00000000" w:rsidP="00000000" w:rsidRDefault="00000000" w:rsidRPr="00000000" w14:paraId="000001D5">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80</w:t>
            </w:r>
          </w:p>
          <w:p w:rsidR="00000000" w:rsidDel="00000000" w:rsidP="00000000" w:rsidRDefault="00000000" w:rsidRPr="00000000" w14:paraId="000001D6">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tc>
      </w:tr>
      <w:tr>
        <w:trPr>
          <w:cantSplit w:val="0"/>
          <w:tblHeader w:val="0"/>
        </w:trPr>
        <w:tc>
          <w:tcPr>
            <w:shd w:fill="auto" w:val="clear"/>
          </w:tcPr>
          <w:p w:rsidR="00000000" w:rsidDel="00000000" w:rsidP="00000000" w:rsidRDefault="00000000" w:rsidRPr="00000000" w14:paraId="000001D7">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5.6 Strengthening the transparency of decision-making at the urban area level</w:t>
            </w:r>
          </w:p>
        </w:tc>
        <w:tc>
          <w:tcPr>
            <w:shd w:fill="auto" w:val="clear"/>
          </w:tcPr>
          <w:p w:rsidR="00000000" w:rsidDel="00000000" w:rsidP="00000000" w:rsidRDefault="00000000" w:rsidRPr="00000000" w14:paraId="000001D8">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Development of information systems for the needs of territorial governance</w:t>
            </w:r>
          </w:p>
        </w:tc>
        <w:tc>
          <w:tcPr>
            <w:shd w:fill="auto" w:val="clear"/>
          </w:tcPr>
          <w:p w:rsidR="00000000" w:rsidDel="00000000" w:rsidP="00000000" w:rsidRDefault="00000000" w:rsidRPr="00000000" w14:paraId="000001D9">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No. of systems </w:t>
            </w:r>
          </w:p>
        </w:tc>
        <w:tc>
          <w:tcPr>
            <w:shd w:fill="auto" w:val="clear"/>
          </w:tcPr>
          <w:p w:rsidR="00000000" w:rsidDel="00000000" w:rsidP="00000000" w:rsidRDefault="00000000" w:rsidRPr="00000000" w14:paraId="000001DA">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p w:rsidR="00000000" w:rsidDel="00000000" w:rsidP="00000000" w:rsidRDefault="00000000" w:rsidRPr="00000000" w14:paraId="000001DB">
            <w:pPr>
              <w:widowControl w:val="0"/>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SDISISRS</w:t>
            </w:r>
          </w:p>
        </w:tc>
      </w:tr>
    </w:tbl>
    <w:p w:rsidR="00000000" w:rsidDel="00000000" w:rsidP="00000000" w:rsidRDefault="00000000" w:rsidRPr="00000000" w14:paraId="000001DC">
      <w:pPr>
        <w:spacing w:line="240" w:lineRule="auto"/>
        <w:rPr>
          <w:rFonts w:ascii="Open Sans" w:cs="Open Sans" w:eastAsia="Open Sans" w:hAnsi="Open Sans"/>
          <w:b w:val="1"/>
          <w:sz w:val="18"/>
          <w:szCs w:val="18"/>
        </w:rPr>
      </w:pPr>
      <w:r w:rsidDel="00000000" w:rsidR="00000000" w:rsidRPr="00000000">
        <w:rPr>
          <w:rtl w:val="0"/>
        </w:rPr>
      </w:r>
    </w:p>
    <w:p w:rsidR="00000000" w:rsidDel="00000000" w:rsidP="00000000" w:rsidRDefault="00000000" w:rsidRPr="00000000" w14:paraId="000001DD">
      <w:pPr>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So</w:t>
      </w:r>
      <w:r w:rsidDel="00000000" w:rsidR="00000000" w:rsidRPr="00000000">
        <w:rPr>
          <w:rFonts w:ascii="Open Sans" w:cs="Open Sans" w:eastAsia="Open Sans" w:hAnsi="Open Sans"/>
          <w:b w:val="1"/>
          <w:color w:val="222222"/>
          <w:sz w:val="18"/>
          <w:szCs w:val="18"/>
          <w:rtl w:val="0"/>
        </w:rPr>
        <w:t xml:space="preserve">urces for indicators:</w:t>
      </w:r>
      <w:r w:rsidDel="00000000" w:rsidR="00000000" w:rsidRPr="00000000">
        <w:rPr>
          <w:rtl w:val="0"/>
        </w:rPr>
      </w:r>
    </w:p>
    <w:tbl>
      <w:tblPr>
        <w:tblStyle w:val="Table2"/>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80"/>
        <w:gridCol w:w="1565.0000000000005"/>
        <w:tblGridChange w:id="0">
          <w:tblGrid>
            <w:gridCol w:w="7780"/>
            <w:gridCol w:w="1565.0000000000005"/>
          </w:tblGrid>
        </w:tblGridChange>
      </w:tblGrid>
      <w:tr>
        <w:trPr>
          <w:cantSplit w:val="0"/>
          <w:trHeight w:val="1324.9999999999818" w:hRule="atLeast"/>
          <w:tblHeader w:val="0"/>
        </w:trPr>
        <w:tc>
          <w:tcPr/>
          <w:p w:rsidR="00000000" w:rsidDel="00000000" w:rsidP="00000000" w:rsidRDefault="00000000" w:rsidRPr="00000000" w14:paraId="000001DE">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REGULATION (EU) 2021/1058 OF THE EUROPEAN PARLIAMENT AND OF THE COUNCIL of 24 June 2021 on the European Regional Development Fund and on the Cohesion Fund. Official Journal of the European Union L 231/60. Common output and result indicators for ERDF and the Cohesion Fund – Article 8(1)(1)</w:t>
            </w:r>
          </w:p>
        </w:tc>
        <w:tc>
          <w:tcPr/>
          <w:p w:rsidR="00000000" w:rsidDel="00000000" w:rsidP="00000000" w:rsidRDefault="00000000" w:rsidRPr="00000000" w14:paraId="000001DF">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RCO – common output results</w:t>
            </w:r>
          </w:p>
          <w:p w:rsidR="00000000" w:rsidDel="00000000" w:rsidP="00000000" w:rsidRDefault="00000000" w:rsidRPr="00000000" w14:paraId="000001E0">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RCR – common indicators results</w:t>
            </w:r>
          </w:p>
        </w:tc>
      </w:tr>
      <w:tr>
        <w:trPr>
          <w:cantSplit w:val="0"/>
          <w:trHeight w:val="170" w:hRule="atLeast"/>
          <w:tblHeader w:val="0"/>
        </w:trPr>
        <w:tc>
          <w:tcPr/>
          <w:p w:rsidR="00000000" w:rsidDel="00000000" w:rsidP="00000000" w:rsidRDefault="00000000" w:rsidRPr="00000000" w14:paraId="000001E1">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Sustainable Development Goals, UN</w:t>
            </w:r>
          </w:p>
        </w:tc>
        <w:tc>
          <w:tcPr/>
          <w:p w:rsidR="00000000" w:rsidDel="00000000" w:rsidP="00000000" w:rsidRDefault="00000000" w:rsidRPr="00000000" w14:paraId="000001E2">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SDGs</w:t>
            </w:r>
          </w:p>
        </w:tc>
      </w:tr>
      <w:tr>
        <w:trPr>
          <w:cantSplit w:val="0"/>
          <w:tblHeader w:val="0"/>
        </w:trPr>
        <w:tc>
          <w:tcPr/>
          <w:p w:rsidR="00000000" w:rsidDel="00000000" w:rsidP="00000000" w:rsidRDefault="00000000" w:rsidRPr="00000000" w14:paraId="000001E3">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Law on Gender Equality, 2021</w:t>
            </w:r>
          </w:p>
        </w:tc>
        <w:tc>
          <w:tcPr/>
          <w:p w:rsidR="00000000" w:rsidDel="00000000" w:rsidP="00000000" w:rsidRDefault="00000000" w:rsidRPr="00000000" w14:paraId="000001E4">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LGQ</w:t>
            </w:r>
          </w:p>
        </w:tc>
      </w:tr>
      <w:tr>
        <w:trPr>
          <w:cantSplit w:val="0"/>
          <w:tblHeader w:val="0"/>
        </w:trPr>
        <w:tc>
          <w:tcPr/>
          <w:p w:rsidR="00000000" w:rsidDel="00000000" w:rsidP="00000000" w:rsidRDefault="00000000" w:rsidRPr="00000000" w14:paraId="000001E5">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Program of Adaptation to Changed Climatic Conditions with Action Plan, Draft</w:t>
            </w:r>
          </w:p>
        </w:tc>
        <w:tc>
          <w:tcPr/>
          <w:p w:rsidR="00000000" w:rsidDel="00000000" w:rsidP="00000000" w:rsidRDefault="00000000" w:rsidRPr="00000000" w14:paraId="000001E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PACCC</w:t>
            </w:r>
          </w:p>
        </w:tc>
      </w:tr>
      <w:tr>
        <w:trPr>
          <w:cantSplit w:val="0"/>
          <w:tblHeader w:val="0"/>
        </w:trPr>
        <w:tc>
          <w:tcPr/>
          <w:p w:rsidR="00000000" w:rsidDel="00000000" w:rsidP="00000000" w:rsidRDefault="00000000" w:rsidRPr="00000000" w14:paraId="000001E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Spatial Plan of the Republic of Serbia from 2021 to 2035, Draft</w:t>
            </w:r>
          </w:p>
        </w:tc>
        <w:tc>
          <w:tcPr/>
          <w:p w:rsidR="00000000" w:rsidDel="00000000" w:rsidP="00000000" w:rsidRDefault="00000000" w:rsidRPr="00000000" w14:paraId="000001E8">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SPRS</w:t>
            </w:r>
          </w:p>
        </w:tc>
      </w:tr>
      <w:tr>
        <w:trPr>
          <w:cantSplit w:val="0"/>
          <w:tblHeader w:val="0"/>
        </w:trPr>
        <w:tc>
          <w:tcPr/>
          <w:p w:rsidR="00000000" w:rsidDel="00000000" w:rsidP="00000000" w:rsidRDefault="00000000" w:rsidRPr="00000000" w14:paraId="000001E9">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Strategy of Deinstitutionalization and Development of Social Protection Services in the Community for the Period 2022-2026</w:t>
            </w:r>
          </w:p>
        </w:tc>
        <w:tc>
          <w:tcPr/>
          <w:p w:rsidR="00000000" w:rsidDel="00000000" w:rsidP="00000000" w:rsidRDefault="00000000" w:rsidRPr="00000000" w14:paraId="000001EA">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SDDSPSC</w:t>
            </w:r>
          </w:p>
        </w:tc>
      </w:tr>
      <w:tr>
        <w:trPr>
          <w:cantSplit w:val="0"/>
          <w:tblHeader w:val="0"/>
        </w:trPr>
        <w:tc>
          <w:tcPr/>
          <w:p w:rsidR="00000000" w:rsidDel="00000000" w:rsidP="00000000" w:rsidRDefault="00000000" w:rsidRPr="00000000" w14:paraId="000001EB">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Strategy for Youth in the Republic of Serbia for the Period from 2022 to 2030, Draft</w:t>
            </w:r>
          </w:p>
        </w:tc>
        <w:tc>
          <w:tcPr/>
          <w:p w:rsidR="00000000" w:rsidDel="00000000" w:rsidP="00000000" w:rsidRDefault="00000000" w:rsidRPr="00000000" w14:paraId="000001EC">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SYRS</w:t>
            </w:r>
          </w:p>
        </w:tc>
      </w:tr>
      <w:tr>
        <w:trPr>
          <w:cantSplit w:val="0"/>
          <w:tblHeader w:val="0"/>
        </w:trPr>
        <w:tc>
          <w:tcPr/>
          <w:p w:rsidR="00000000" w:rsidDel="00000000" w:rsidP="00000000" w:rsidRDefault="00000000" w:rsidRPr="00000000" w14:paraId="000001E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Strategy for Supporting the Development of Small and Medium-sized enterprises, entrepreneurship and Competitiveness for the Period from 2015 to 2020</w:t>
            </w:r>
          </w:p>
        </w:tc>
        <w:tc>
          <w:tcPr/>
          <w:p w:rsidR="00000000" w:rsidDel="00000000" w:rsidP="00000000" w:rsidRDefault="00000000" w:rsidRPr="00000000" w14:paraId="000001EE">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SSDSMEEC</w:t>
            </w:r>
          </w:p>
        </w:tc>
      </w:tr>
      <w:tr>
        <w:trPr>
          <w:cantSplit w:val="0"/>
          <w:tblHeader w:val="0"/>
        </w:trPr>
        <w:tc>
          <w:tcPr/>
          <w:p w:rsidR="00000000" w:rsidDel="00000000" w:rsidP="00000000" w:rsidRDefault="00000000" w:rsidRPr="00000000" w14:paraId="000001EF">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Employment Strategy in the Republic of Serbia for the Period from 2021 to 2026</w:t>
            </w:r>
          </w:p>
        </w:tc>
        <w:tc>
          <w:tcPr/>
          <w:p w:rsidR="00000000" w:rsidDel="00000000" w:rsidP="00000000" w:rsidRDefault="00000000" w:rsidRPr="00000000" w14:paraId="000001F0">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ESRS</w:t>
            </w:r>
          </w:p>
        </w:tc>
      </w:tr>
      <w:tr>
        <w:trPr>
          <w:cantSplit w:val="0"/>
          <w:tblHeader w:val="0"/>
        </w:trPr>
        <w:tc>
          <w:tcPr/>
          <w:p w:rsidR="00000000" w:rsidDel="00000000" w:rsidP="00000000" w:rsidRDefault="00000000" w:rsidRPr="00000000" w14:paraId="000001F1">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Industrial Policy Strategy of the Republic of Serbia from 2021 to 2030</w:t>
            </w:r>
          </w:p>
        </w:tc>
        <w:tc>
          <w:tcPr/>
          <w:p w:rsidR="00000000" w:rsidDel="00000000" w:rsidP="00000000" w:rsidRDefault="00000000" w:rsidRPr="00000000" w14:paraId="000001F2">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IPSRS</w:t>
            </w:r>
          </w:p>
        </w:tc>
      </w:tr>
      <w:tr>
        <w:trPr>
          <w:cantSplit w:val="0"/>
          <w:tblHeader w:val="0"/>
        </w:trPr>
        <w:tc>
          <w:tcPr/>
          <w:p w:rsidR="00000000" w:rsidDel="00000000" w:rsidP="00000000" w:rsidRDefault="00000000" w:rsidRPr="00000000" w14:paraId="000001F3">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Public Health Strategy in the Republic of Serbia 2018-2026</w:t>
            </w:r>
          </w:p>
        </w:tc>
        <w:tc>
          <w:tcPr/>
          <w:p w:rsidR="00000000" w:rsidDel="00000000" w:rsidP="00000000" w:rsidRDefault="00000000" w:rsidRPr="00000000" w14:paraId="000001F4">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PHSRS</w:t>
            </w:r>
          </w:p>
        </w:tc>
      </w:tr>
      <w:tr>
        <w:trPr>
          <w:cantSplit w:val="0"/>
          <w:tblHeader w:val="0"/>
        </w:trPr>
        <w:tc>
          <w:tcPr/>
          <w:p w:rsidR="00000000" w:rsidDel="00000000" w:rsidP="00000000" w:rsidRDefault="00000000" w:rsidRPr="00000000" w14:paraId="000001F5">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Strategy of Scientific and Technological Development of the Republic of Serbia for the Period from 2021 to 2025 "Power of Knowledge"</w:t>
            </w:r>
          </w:p>
        </w:tc>
        <w:tc>
          <w:tcPr/>
          <w:p w:rsidR="00000000" w:rsidDel="00000000" w:rsidP="00000000" w:rsidRDefault="00000000" w:rsidRPr="00000000" w14:paraId="000001F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SSTDRS</w:t>
            </w:r>
          </w:p>
        </w:tc>
      </w:tr>
      <w:tr>
        <w:trPr>
          <w:cantSplit w:val="0"/>
          <w:tblHeader w:val="0"/>
        </w:trPr>
        <w:tc>
          <w:tcPr/>
          <w:p w:rsidR="00000000" w:rsidDel="00000000" w:rsidP="00000000" w:rsidRDefault="00000000" w:rsidRPr="00000000" w14:paraId="000001F7">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Carbon Development Strategy of the Republic of Serbia with Action plan, 2023</w:t>
            </w:r>
          </w:p>
        </w:tc>
        <w:tc>
          <w:tcPr/>
          <w:p w:rsidR="00000000" w:rsidDel="00000000" w:rsidP="00000000" w:rsidRDefault="00000000" w:rsidRPr="00000000" w14:paraId="000001F8">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LCDSRS</w:t>
            </w:r>
          </w:p>
        </w:tc>
      </w:tr>
      <w:tr>
        <w:trPr>
          <w:cantSplit w:val="0"/>
          <w:tblHeader w:val="0"/>
        </w:trPr>
        <w:tc>
          <w:tcPr/>
          <w:p w:rsidR="00000000" w:rsidDel="00000000" w:rsidP="00000000" w:rsidRDefault="00000000" w:rsidRPr="00000000" w14:paraId="000001F9">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Sustainable Urban Development Strategy of the Republic of Serbia until 2030, 2019</w:t>
            </w:r>
          </w:p>
        </w:tc>
        <w:tc>
          <w:tcPr/>
          <w:p w:rsidR="00000000" w:rsidDel="00000000" w:rsidP="00000000" w:rsidRDefault="00000000" w:rsidRPr="00000000" w14:paraId="000001FA">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SUDSRS</w:t>
            </w:r>
          </w:p>
        </w:tc>
      </w:tr>
      <w:tr>
        <w:trPr>
          <w:cantSplit w:val="0"/>
          <w:tblHeader w:val="0"/>
        </w:trPr>
        <w:tc>
          <w:tcPr/>
          <w:p w:rsidR="00000000" w:rsidDel="00000000" w:rsidP="00000000" w:rsidRDefault="00000000" w:rsidRPr="00000000" w14:paraId="000001FB">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Smart Specialisation Strategy of the Republic of Serbia 2020-2027</w:t>
            </w:r>
          </w:p>
        </w:tc>
        <w:tc>
          <w:tcPr/>
          <w:p w:rsidR="00000000" w:rsidDel="00000000" w:rsidP="00000000" w:rsidRDefault="00000000" w:rsidRPr="00000000" w14:paraId="000001FC">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SSSRS</w:t>
            </w:r>
          </w:p>
        </w:tc>
      </w:tr>
      <w:tr>
        <w:trPr>
          <w:cantSplit w:val="0"/>
          <w:tblHeader w:val="0"/>
        </w:trPr>
        <w:tc>
          <w:tcPr/>
          <w:p w:rsidR="00000000" w:rsidDel="00000000" w:rsidP="00000000" w:rsidRDefault="00000000" w:rsidRPr="00000000" w14:paraId="000001FD">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Strategy of Agriculture and Rural Development of the Republic of Serbia for the Period 2014-2024</w:t>
            </w:r>
          </w:p>
        </w:tc>
        <w:tc>
          <w:tcPr/>
          <w:p w:rsidR="00000000" w:rsidDel="00000000" w:rsidP="00000000" w:rsidRDefault="00000000" w:rsidRPr="00000000" w14:paraId="000001FE">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SARDRS</w:t>
            </w:r>
          </w:p>
        </w:tc>
      </w:tr>
      <w:tr>
        <w:trPr>
          <w:cantSplit w:val="0"/>
          <w:tblHeader w:val="0"/>
        </w:trPr>
        <w:tc>
          <w:tcPr/>
          <w:p w:rsidR="00000000" w:rsidDel="00000000" w:rsidP="00000000" w:rsidRDefault="00000000" w:rsidRPr="00000000" w14:paraId="000001FF">
            <w:pPr>
              <w:spacing w:line="240" w:lineRule="auto"/>
              <w:rPr>
                <w:rFonts w:ascii="Open Sans" w:cs="Open Sans" w:eastAsia="Open Sans" w:hAnsi="Open Sans"/>
                <w:sz w:val="18"/>
                <w:szCs w:val="18"/>
                <w:highlight w:val="white"/>
              </w:rPr>
            </w:pPr>
            <w:r w:rsidDel="00000000" w:rsidR="00000000" w:rsidRPr="00000000">
              <w:rPr>
                <w:rFonts w:ascii="Open Sans" w:cs="Open Sans" w:eastAsia="Open Sans" w:hAnsi="Open Sans"/>
                <w:sz w:val="18"/>
                <w:szCs w:val="18"/>
                <w:rtl w:val="0"/>
              </w:rPr>
              <w:t xml:space="preserve">Strategy for the Development of Artificial Intelligence in the Republic of Serbia for the Period 2020-2025</w:t>
            </w:r>
            <w:r w:rsidDel="00000000" w:rsidR="00000000" w:rsidRPr="00000000">
              <w:rPr>
                <w:rtl w:val="0"/>
              </w:rPr>
            </w:r>
          </w:p>
        </w:tc>
        <w:tc>
          <w:tcPr/>
          <w:p w:rsidR="00000000" w:rsidDel="00000000" w:rsidP="00000000" w:rsidRDefault="00000000" w:rsidRPr="00000000" w14:paraId="00000200">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SDAIRS</w:t>
            </w:r>
          </w:p>
        </w:tc>
      </w:tr>
      <w:tr>
        <w:trPr>
          <w:cantSplit w:val="0"/>
          <w:tblHeader w:val="0"/>
        </w:trPr>
        <w:tc>
          <w:tcPr/>
          <w:p w:rsidR="00000000" w:rsidDel="00000000" w:rsidP="00000000" w:rsidRDefault="00000000" w:rsidRPr="00000000" w14:paraId="00000201">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Strategy for the Development of Information Society and Information Security in the Republic of Serbia for the Period from 2021 to 2026</w:t>
            </w:r>
          </w:p>
        </w:tc>
        <w:tc>
          <w:tcPr/>
          <w:p w:rsidR="00000000" w:rsidDel="00000000" w:rsidP="00000000" w:rsidRDefault="00000000" w:rsidRPr="00000000" w14:paraId="00000202">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SDISISRS</w:t>
            </w:r>
          </w:p>
        </w:tc>
      </w:tr>
      <w:tr>
        <w:trPr>
          <w:cantSplit w:val="0"/>
          <w:tblHeader w:val="0"/>
        </w:trPr>
        <w:tc>
          <w:tcPr/>
          <w:p w:rsidR="00000000" w:rsidDel="00000000" w:rsidP="00000000" w:rsidRDefault="00000000" w:rsidRPr="00000000" w14:paraId="00000203">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Strategy for the Development of the Culture of the Republic of Serbia from 2020 to 2029</w:t>
            </w:r>
          </w:p>
        </w:tc>
        <w:tc>
          <w:tcPr/>
          <w:p w:rsidR="00000000" w:rsidDel="00000000" w:rsidP="00000000" w:rsidRDefault="00000000" w:rsidRPr="00000000" w14:paraId="00000204">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SDCRS</w:t>
            </w:r>
          </w:p>
        </w:tc>
      </w:tr>
      <w:tr>
        <w:trPr>
          <w:cantSplit w:val="0"/>
          <w:tblHeader w:val="0"/>
        </w:trPr>
        <w:tc>
          <w:tcPr>
            <w:shd w:fill="auto" w:val="clear"/>
          </w:tcPr>
          <w:p w:rsidR="00000000" w:rsidDel="00000000" w:rsidP="00000000" w:rsidRDefault="00000000" w:rsidRPr="00000000" w14:paraId="00000205">
            <w:pPr>
              <w:spacing w:line="240" w:lineRule="auto"/>
              <w:rPr>
                <w:rFonts w:ascii="Open Sans" w:cs="Open Sans" w:eastAsia="Open Sans" w:hAnsi="Open Sans"/>
                <w:color w:val="202124"/>
                <w:sz w:val="18"/>
                <w:szCs w:val="18"/>
              </w:rPr>
            </w:pPr>
            <w:r w:rsidDel="00000000" w:rsidR="00000000" w:rsidRPr="00000000">
              <w:rPr>
                <w:rFonts w:ascii="Open Sans" w:cs="Open Sans" w:eastAsia="Open Sans" w:hAnsi="Open Sans"/>
                <w:color w:val="202124"/>
                <w:sz w:val="18"/>
                <w:szCs w:val="18"/>
                <w:rtl w:val="0"/>
              </w:rPr>
              <w:t xml:space="preserve">Strategy for </w:t>
            </w:r>
            <w:r w:rsidDel="00000000" w:rsidR="00000000" w:rsidRPr="00000000">
              <w:rPr>
                <w:rFonts w:ascii="Open Sans" w:cs="Open Sans" w:eastAsia="Open Sans" w:hAnsi="Open Sans"/>
                <w:sz w:val="18"/>
                <w:szCs w:val="18"/>
                <w:rtl w:val="0"/>
              </w:rPr>
              <w:t xml:space="preserve">the</w:t>
            </w:r>
            <w:r w:rsidDel="00000000" w:rsidR="00000000" w:rsidRPr="00000000">
              <w:rPr>
                <w:rFonts w:ascii="Open Sans" w:cs="Open Sans" w:eastAsia="Open Sans" w:hAnsi="Open Sans"/>
                <w:color w:val="202124"/>
                <w:sz w:val="18"/>
                <w:szCs w:val="18"/>
                <w:rtl w:val="0"/>
              </w:rPr>
              <w:t xml:space="preserve"> Development of Education and Upbringing in Serbia until 2030</w:t>
            </w:r>
          </w:p>
        </w:tc>
        <w:tc>
          <w:tcPr>
            <w:shd w:fill="auto" w:val="clear"/>
          </w:tcPr>
          <w:p w:rsidR="00000000" w:rsidDel="00000000" w:rsidP="00000000" w:rsidRDefault="00000000" w:rsidRPr="00000000" w14:paraId="00000206">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SDEURS</w:t>
            </w:r>
          </w:p>
        </w:tc>
      </w:tr>
      <w:tr>
        <w:trPr>
          <w:cantSplit w:val="0"/>
          <w:tblHeader w:val="0"/>
        </w:trPr>
        <w:tc>
          <w:tcPr/>
          <w:p w:rsidR="00000000" w:rsidDel="00000000" w:rsidP="00000000" w:rsidRDefault="00000000" w:rsidRPr="00000000" w14:paraId="00000207">
            <w:pPr>
              <w:shd w:fill="ffffff" w:val="clea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Tourism Development Strategy of the Republic of Serbia for the Period from 2016 to 2025</w:t>
            </w:r>
          </w:p>
        </w:tc>
        <w:tc>
          <w:tcPr/>
          <w:p w:rsidR="00000000" w:rsidDel="00000000" w:rsidP="00000000" w:rsidRDefault="00000000" w:rsidRPr="00000000" w14:paraId="00000208">
            <w:pPr>
              <w:spacing w:line="2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TDSRS</w:t>
            </w:r>
          </w:p>
        </w:tc>
      </w:tr>
    </w:tbl>
    <w:p w:rsidR="00000000" w:rsidDel="00000000" w:rsidP="00000000" w:rsidRDefault="00000000" w:rsidRPr="00000000" w14:paraId="00000209">
      <w:pPr>
        <w:widowControl w:val="0"/>
        <w:spacing w:before="213.4619140625" w:line="240" w:lineRule="auto"/>
        <w:rPr/>
      </w:pPr>
      <w:r w:rsidDel="00000000" w:rsidR="00000000" w:rsidRPr="00000000">
        <w:rPr>
          <w:rtl w:val="0"/>
        </w:rPr>
      </w:r>
    </w:p>
    <w:p w:rsidR="00000000" w:rsidDel="00000000" w:rsidP="00000000" w:rsidRDefault="00000000" w:rsidRPr="00000000" w14:paraId="0000020A">
      <w:pPr>
        <w:pageBreakBefore w:val="0"/>
        <w:spacing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20B">
      <w:pPr>
        <w:pageBreakBefore w:val="0"/>
        <w:widowControl w:val="0"/>
        <w:tabs>
          <w:tab w:val="left" w:leader="none" w:pos="0"/>
        </w:tabs>
        <w:spacing w:line="240" w:lineRule="auto"/>
        <w:rPr>
          <w:rFonts w:ascii="Calibri" w:cs="Calibri" w:eastAsia="Calibri" w:hAnsi="Calibri"/>
          <w:b w:val="1"/>
          <w:smallCaps w:val="1"/>
        </w:rPr>
      </w:pPr>
      <w:r w:rsidDel="00000000" w:rsidR="00000000" w:rsidRPr="00000000">
        <w:rPr>
          <w:rtl w:val="0"/>
        </w:rPr>
      </w:r>
    </w:p>
    <w:p w:rsidR="00000000" w:rsidDel="00000000" w:rsidP="00000000" w:rsidRDefault="00000000" w:rsidRPr="00000000" w14:paraId="0000020C">
      <w:pPr>
        <w:rPr/>
      </w:pPr>
      <w:r w:rsidDel="00000000" w:rsidR="00000000" w:rsidRPr="00000000">
        <w:rPr>
          <w:rtl w:val="0"/>
        </w:rPr>
      </w:r>
    </w:p>
    <w:sectPr>
      <w:headerReference r:id="rId7" w:type="default"/>
      <w:headerReference r:id="rId8" w:type="first"/>
      <w:footerReference r:id="rId9" w:type="default"/>
      <w:footerReference r:id="rId10"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F">
    <w:pP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0">
    <w:pPr>
      <w:rPr>
        <w:rFonts w:ascii="Open Sans" w:cs="Open Sans" w:eastAsia="Open Sans" w:hAnsi="Open Sans"/>
        <w:sz w:val="18"/>
        <w:szCs w:val="18"/>
      </w:rPr>
    </w:pPr>
    <w:r w:rsidDel="00000000" w:rsidR="00000000" w:rsidRPr="00000000">
      <w:rPr>
        <w:rFonts w:ascii="Open Sans" w:cs="Open Sans" w:eastAsia="Open Sans" w:hAnsi="Open Sans"/>
        <w:sz w:val="18"/>
        <w:szCs w:val="18"/>
      </w:rPr>
      <w:fldChar w:fldCharType="begin"/>
      <w:instrText xml:space="preserve">PAGE</w:instrText>
      <w:fldChar w:fldCharType="separate"/>
      <w:fldChar w:fldCharType="end"/>
    </w:r>
    <w:r w:rsidDel="00000000" w:rsidR="00000000" w:rsidRPr="00000000">
      <w:rPr>
        <w:rFonts w:ascii="Open Sans" w:cs="Open Sans" w:eastAsia="Open Sans" w:hAnsi="Open Sans"/>
        <w:sz w:val="18"/>
        <w:szCs w:val="18"/>
        <w:rtl w:val="0"/>
      </w:rPr>
      <w:t xml:space="preserve"> of </w:t>
    </w:r>
    <w:r w:rsidDel="00000000" w:rsidR="00000000" w:rsidRPr="00000000">
      <w:rPr>
        <w:rFonts w:ascii="Open Sans" w:cs="Open Sans" w:eastAsia="Open Sans" w:hAnsi="Open Sans"/>
        <w:sz w:val="18"/>
        <w:szCs w:val="18"/>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D">
    <w:pPr>
      <w:rPr/>
    </w:pPr>
    <w:r w:rsidDel="00000000" w:rsidR="00000000" w:rsidRPr="00000000">
      <w:rPr/>
      <w:drawing>
        <wp:anchor allowOverlap="1" behindDoc="0" distB="0" distT="0" distL="0" distR="0" hidden="0" layoutInCell="1" locked="0" relativeHeight="0" simplePos="0">
          <wp:simplePos x="0" y="0"/>
          <wp:positionH relativeFrom="page">
            <wp:posOffset>-1422</wp:posOffset>
          </wp:positionH>
          <wp:positionV relativeFrom="page">
            <wp:posOffset>238125</wp:posOffset>
          </wp:positionV>
          <wp:extent cx="7560000" cy="1431675"/>
          <wp:effectExtent b="0" l="0" r="0" t="0"/>
          <wp:wrapTopAndBottom distB="0" distT="0"/>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60000" cy="1431675"/>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E">
    <w:pPr>
      <w:tabs>
        <w:tab w:val="left" w:leader="none" w:pos="7079.4094488188975"/>
      </w:tabs>
      <w:spacing w:after="240" w:line="276" w:lineRule="auto"/>
      <w:ind w:right="-419.5275590551165"/>
      <w:rPr/>
    </w:pPr>
    <w:r w:rsidDel="00000000" w:rsidR="00000000" w:rsidRPr="00000000">
      <w:rPr>
        <w:rFonts w:ascii="Open Sans" w:cs="Open Sans" w:eastAsia="Open Sans" w:hAnsi="Open Sans"/>
        <w:b w:val="1"/>
        <w:color w:val="666666"/>
        <w:sz w:val="12"/>
        <w:szCs w:val="12"/>
        <w:rtl w:val="0"/>
      </w:rPr>
      <w:t xml:space="preserve">CFP 002-EUPROPLUS-2023</w:t>
      <w:tab/>
    </w:r>
    <w:r w:rsidDel="00000000" w:rsidR="00000000" w:rsidRPr="00000000">
      <w:rPr>
        <w:rFonts w:ascii="Open Sans" w:cs="Open Sans" w:eastAsia="Open Sans" w:hAnsi="Open Sans"/>
        <w:b w:val="1"/>
        <w:color w:val="666666"/>
        <w:sz w:val="12"/>
        <w:szCs w:val="12"/>
      </w:rPr>
      <w:drawing>
        <wp:inline distB="57150" distT="57150" distL="57150" distR="57150">
          <wp:extent cx="1436269" cy="405327"/>
          <wp:effectExtent b="0" l="0" r="0" t="0"/>
          <wp:docPr id="8" name="image1.png"/>
          <a:graphic>
            <a:graphicData uri="http://schemas.openxmlformats.org/drawingml/2006/picture">
              <pic:pic>
                <pic:nvPicPr>
                  <pic:cNvPr id="0" name="image1.png"/>
                  <pic:cNvPicPr preferRelativeResize="0"/>
                </pic:nvPicPr>
                <pic:blipFill>
                  <a:blip r:embed="rId1"/>
                  <a:srcRect b="0" l="-2492" r="4028" t="0"/>
                  <a:stretch>
                    <a:fillRect/>
                  </a:stretch>
                </pic:blipFill>
                <pic:spPr>
                  <a:xfrm>
                    <a:off x="0" y="0"/>
                    <a:ext cx="1436269" cy="40532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SemiBold-regular.ttf"/><Relationship Id="rId2" Type="http://schemas.openxmlformats.org/officeDocument/2006/relationships/font" Target="fonts/MontserratSemiBold-bold.ttf"/><Relationship Id="rId3" Type="http://schemas.openxmlformats.org/officeDocument/2006/relationships/font" Target="fonts/MontserratSemiBold-italic.ttf"/><Relationship Id="rId4" Type="http://schemas.openxmlformats.org/officeDocument/2006/relationships/font" Target="fonts/MontserratSemiBold-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1Hs8PDxhB8XKOEoRyENvmJPYp2Q==">AMUW2mV5nye1Aq5D+pg7YvObh7ydlHGCLvkvGoUR+G3dvcnDGEZL8c1VLDax2J0ADNW0BplqLj6Shj9g+0te/IkLWLv5IfqaVsKvUF25JsG6xf2L7qxbqwTZunTVFn5ipHP8Xy1EiLjyEvhIbxscpcC/ZbFDlJXXIXjzBCUs/q63LldOBD48bK9z8QSCvrDuk0nabxwWRiJk0UnQcKmIGr4DWwgIlSvvwOJAvND8oaEjLq6owdJGLA8=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